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RHG (Bayern) — Präsident und Vizepräsident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Präsident leitet die Verwaltung des Obersten Rechnungshofs und führt, unbeschadet des Art. 6, die Dienstaufsicht über den Obersten Rechnungshof und die Rechnungsprüfungsämter; er vertritt den Obersten Rechnungshof nach außen. Als Mitglied des Obersten Rechnungshofs ist er nach Maßgabe dieses Gesetzes an den Beschlüssen des Obersten Rechnungshofs beteiligt.</w:t>
      </w:r>
    </w:p>
    <w:p>
      <w:r>
        <w:t xml:space="preserve">(2) Der Präsident wird vom Vizepräsidenten vertreten. Im übrigen wird die Vertretung durch die Geschäftsverteilung geregelt.</w:t>
      </w:r>
    </w:p>
    <w:p>
      <w:r>
        <w:rPr>
          <w:color w:val="555555"/>
          <w:sz w:val="17"/>
        </w:rPr>
        <w:t xml:space="preserve">Zitiervorschlag: Art 4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