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RHG (Bayern) — Geschäftsordnung</w:t>
      </w:r>
    </w:p>
    <w:p>
      <w:r>
        <w:rPr>
          <w:color w:val="555555"/>
          <w:sz w:val="18"/>
        </w:rPr>
        <w:t xml:space="preserve">Rechnungshofgesetz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Oberste Rechnungshof gibt sich eine Geschäftsordnung; sie wird im Staatsanzeiger veröffentlicht.</w:t>
      </w:r>
    </w:p>
    <w:p>
      <w:r>
        <w:rPr>
          <w:color w:val="555555"/>
          <w:sz w:val="17"/>
        </w:rPr>
        <w:t xml:space="preserve">Zitiervorschlag: Art 12 RHG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