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RHG-GebV — Rücknahme, Widerspruch</w:t>
      </w:r>
    </w:p>
    <w:p>
      <w:r>
        <w:rPr>
          <w:color w:val="555555"/>
          <w:sz w:val="18"/>
        </w:rPr>
        <w:t xml:space="preserve">Verordnung über die Kosten des Verfahrens im Rahmen der Festsetzung der Rückstandshöchstgehalte in Lebens- und Futtermitteln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Wird ein Antrag auf Vornahme einer gebührenpflichtigen individuell zurechenbaren öffentlichen Leistung nach Beginn der sachlichen Bearbeitung und vor Fertigstellung des Bewertungsberichtes nach Artikel 8 Absatz 1 der Verordnung (EG) Nr. 396/2005 zurückgenommen oder ein Antrag aus anderen Gründen, ausgenommen wegen fehlender Zuständigkeit, abgelehnt, so werden Gebühren nach Maßgabe des § 15 Absatz 2 des Verwaltungskostengesetzes in der bis zum 14. August 2013 geltenden Fassung erhoben.</w:t>
      </w:r>
    </w:p>
    <w:p>
      <w:r>
        <w:rPr>
          <w:color w:val="555555"/>
          <w:sz w:val="17"/>
        </w:rPr>
        <w:t xml:space="preserve">Zitiervorschlag: § 3 RHG-GebV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https://recht.nulegal.eu/gesetze/RHG-GebV/3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