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RHG-GebV — Gebührenpflichtige Tatbestände, Erhöhungen und Ermäßigungen der Gebühren</w:t>
      </w:r>
    </w:p>
    <w:p>
      <w:r>
        <w:rPr>
          <w:color w:val="555555"/>
          <w:sz w:val="18"/>
        </w:rPr>
        <w:t xml:space="preserve">Verordnung über die Kosten des Verfahrens im Rahmen der Festsetzung der Rückstandshöchstgehalte in Lebens- und Futtermitteln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gebührenpflichtigen Tatbestände und die Höhe der Gebühren ergeben sich aus dem anliegenden Gebührenverzeichnis.</w:t>
      </w:r>
    </w:p>
    <w:p>
      <w:r>
        <w:t xml:space="preserve">(2) Von der Erhebung der nach Maßgabe des Absatzes 1 berechneten Gebühren kann auf Antrag des Gebührenschuldners ganz oder teilweise abgesehen werden, wenn ein besonderes öffentliches Interesse an der Festsetzung oder Änderung des Rückstandshöchstgehaltes besteht.</w:t>
      </w:r>
    </w:p>
    <w:p>
      <w:r>
        <w:rPr>
          <w:color w:val="555555"/>
          <w:sz w:val="17"/>
        </w:rPr>
        <w:t xml:space="preserve">Zitiervorschlag: § 2 RHG-GebV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https://recht.nulegal.eu/gesetze/RHG-GebV/2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