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RHBG</w:t>
      </w:r>
    </w:p>
    <w:p>
      <w:r>
        <w:rPr>
          <w:color w:val="555555"/>
          <w:sz w:val="18"/>
        </w:rPr>
        <w:t xml:space="preserve">Gesetz über die Haftung des Reichs für seine Beamten</w:t>
      </w:r>
    </w:p>
    <w:p>
      <w:r>
        <w:rPr>
          <w:color w:val="555555"/>
          <w:sz w:val="18"/>
        </w:rPr>
        <w:t xml:space="preserve">Stand: 10.06.2019 (konsolidierte Textfassung, kein amtliches Inkrafttretensdatum)</w:t>
      </w:r>
    </w:p>
    <w:p>
      <w:r>
        <w:t xml:space="preserve">(1) Die Bundesregierung kann zur Herstellung der Gegenseitigkeit durch Rechtsverordnung bestimmen, daß einem ausländischen Staat und seinen Angehörigen, die im Geltungsbereich dieses Gesetzes keinen Wohnsitz oder ständigen Aufenthalt haben, Ansprüche aus diesem Gesetz nicht zustehen, wenn der Bundesrepublik Deutschland oder Deutschen nach dem ausländischen Recht bei vergleichbaren Schädigungen kein gleichwertiger Schadensausgleich von dem ausländischen Staat geleistet wird. Angehörigen eines ausländischen Staates stehen juristische Personen sowie Gesellschaften und Vereinigungen des bürgerlichen Rechts oder des Handelsrechts gleich; an die Stelle des Wohnsitzes oder des ständigen Aufenthaltsortes tritt bei ihnen der tatsächliche und, wenn ein solcher bestimmt ist, der satzungsmäßige Sitz.</w:t>
      </w:r>
    </w:p>
    <w:p>
      <w:r>
        <w:t xml:space="preserve">(2) Absatz 1 gilt nicht für Mitgliedstaaten der Europäischen Gemeinschaften und ihre Angehörigen und für die sonstigen Fälle, in denen kraft des Rechts der Europäischen Gemeinschaften eine Gleichbehandlung mit Deutschen erfolgen muß.</w:t>
      </w:r>
    </w:p>
    <w:p>
      <w:r>
        <w:rPr>
          <w:color w:val="555555"/>
          <w:sz w:val="17"/>
        </w:rPr>
        <w:t xml:space="preserve">Zitiervorschlag: § 7 RHBG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