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RHBG</w:t>
      </w:r>
    </w:p>
    <w:p>
      <w:r>
        <w:rPr>
          <w:color w:val="555555"/>
          <w:sz w:val="18"/>
        </w:rPr>
        <w:t xml:space="preserve">Gesetz über die Haftung des Reichs für seine Beamten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Unberührt bleiben die Vorschriften anderer Reichsgesetze, soweit sie für bestimmte Fälle die Haftung des Reichs über einen gewissen Umfang hinaus ausschließen.</w:t>
      </w:r>
    </w:p>
    <w:p>
      <w:r>
        <w:rPr>
          <w:color w:val="555555"/>
          <w:sz w:val="17"/>
        </w:rPr>
        <w:t xml:space="preserve">Zitiervorschlag: § 6 RHBG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https://recht.nulegal.eu/gesetze/RHBG/6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