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RHBG</w:t>
      </w:r>
    </w:p>
    <w:p>
      <w:r>
        <w:rPr>
          <w:color w:val="555555"/>
          <w:sz w:val="18"/>
        </w:rPr>
        <w:t xml:space="preserve">Gesetz über die Haftung des Reichs für seine Beamten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Gesetzes finden keine Anwendung:</w:t>
      </w:r>
    </w:p>
    <w:p>
      <w:pPr>
        <w:ind w:left="420"/>
      </w:pPr>
      <w:r>
        <w:t xml:space="preserve">1. soweit es sich um das Verhalten solcher Beamten handelt, die, abgesehen von der Entschädigung für Dienstaufwand, auf den Bezug von Gebühren angewiesen sind;</w:t>
      </w:r>
    </w:p>
    <w:p>
      <w:pPr>
        <w:ind w:left="420"/>
      </w:pPr>
      <w:r>
        <w:t xml:space="preserve">2. soweit es sich um das Verhalten eines mit Angelegenheiten des auswärtigen Dienstes befaßten Beamten handelt und dieses Verhalten nach einer amtlichen Erklärung des Reichskanzlers politischen oder internationalen Rücksichten entsprochen hat.</w:t>
      </w:r>
    </w:p>
    <w:p>
      <w:r>
        <w:rPr>
          <w:color w:val="555555"/>
          <w:sz w:val="17"/>
        </w:rPr>
        <w:t xml:space="preserve">Zitiervorschlag: § 5 RHBG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https://recht.nulegal.eu/gesetze/RHBG/5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