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RHBG</w:t>
      </w:r>
    </w:p>
    <w:p>
      <w:r>
        <w:rPr>
          <w:color w:val="555555"/>
          <w:sz w:val="18"/>
        </w:rPr>
        <w:t xml:space="preserve">Gesetz über die Haftung des Reichs für seine Beamten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Für die Ansprüche, welche auf Grund dieses Gesetzes gegen das Reich erhoben werden, sind die Landgerichte ohne Rücksicht auf den Wert des Streitgegenstandes ausschließlich zuständig.</w:t>
      </w:r>
    </w:p>
    <w:p>
      <w:r>
        <w:t xml:space="preserve">(2) In bürgerlichen Rechtsstreitigkeiten, in welchen durch Klage oder Widerklage ein Anspruch auf Grund dieses Gesetzes geltend gemacht ist, wird die Verhandlung und Entscheidung letzter Instanz im Sinne des § 8 des Einführungsgesetzes zum Gerichtsverfassungsgesetze dem Bundesgerichtshof zugewiesen.</w:t>
      </w:r>
    </w:p>
    <w:p>
      <w:r>
        <w:rPr>
          <w:color w:val="555555"/>
          <w:sz w:val="17"/>
        </w:rPr>
        <w:t xml:space="preserve">Zitiervorschlag: § 3 RHBG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https://recht.nulegal.eu/gesetze/RHBG/3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