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RGebEinRTestPflV 202011</w:t>
      </w:r>
    </w:p>
    <w:p>
      <w:r>
        <w:rPr>
          <w:color w:val="555555"/>
          <w:sz w:val="18"/>
        </w:rPr>
        <w:t xml:space="preserve">Verordnung zur Testpflicht von Einreisenden aus Risikogebieten</w:t>
      </w:r>
    </w:p>
    <w:p>
      <w:r>
        <w:rPr>
          <w:color w:val="555555"/>
          <w:sz w:val="18"/>
        </w:rPr>
        <w:t xml:space="preserve">Historische Fassung: Stand 10.11.2020 bis 02.12.2020. Dies ist nicht die aktuelle Fassung.</w:t>
      </w:r>
    </w:p>
    <w:p>
      <w:r>
        <w:t xml:space="preserve">Auf Grund des § 36 Absatz 7 Satz 1, 3, und 5 des Infektionsschutzgesetzes, der durch Artikel 6 Nummer 3 Buchstabe e des Gesetzes vom 11. Dezember 2018 (BGBl. I S. 2394)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RGebEinRTestPflV 202011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https://recht.nulegal.eu/gesetze/RGebEinRTestPflV%20202011/eingangsformel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