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RFinStV (Brandenburg) — Ermächtigung und Verpflichtung zum Finanzausgleich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in der ARD zusammengeschlossenen Landesrundfunkanstalten werden ermächtigt und verpflichtet, einen angemessenen Finanzausgleich durchzuführen. Der Finanzausgleich muss gewährleisten, dass</w:t>
      </w:r>
    </w:p>
    <w:p>
      <w:r>
        <w:t xml:space="preserve">die übergeordneten Aufgaben des öffentlich-rechtlichen Rundfunks und solche Aufgaben einzelner Rundfunkanstalten, die wegen ihrer Bedeutung für den gesamten Rundfunk als Gemeinschaftsaufgaben wahrgenommen werden müssen, erfüllt werden können,</w:t>
      </w:r>
    </w:p>
    <w:p>
      <w:r>
        <w:t xml:space="preserve">jede Rundfunkanstalt in der Lage ist, ein ausreichendes Programm zu gestalten und zu verbreiten.</w:t>
      </w:r>
    </w:p>
    <w:p>
      <w:r>
        <w:t xml:space="preserve">(2) Ungleichgewichte zwischen den in der ARD zusammengeschlossenen Landesrundfunkanstalten sollen im Rahmen einer Gesamtbetrachtung zwischen den Rundfunkanstalten ausgeglichen werden.</w:t>
      </w:r>
    </w:p>
    <w:p>
      <w:r>
        <w:rPr>
          <w:color w:val="555555"/>
          <w:sz w:val="17"/>
        </w:rPr>
        <w:t xml:space="preserve">Zitiervorschlag: § 12a RFinStV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https://recht.nulegal.eu/gesetze/RFinStV/12a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