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RFinStV (Brandenburg) — Zuweisung des Anteils</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Landesmedienanstalten erhalten nach Anforderung von ihrer zuständigen Landesrundfunkanstalt jeweils zur Mitte eines Kalendervierteljahres angemessene Abschlagszahlungen. Die Schlußzahlung für ein Kalenderjahr ist spätestens sechs Monate nach Ablauf des Kalenderjahres zu leisten.</w:t>
      </w:r>
    </w:p>
    <w:p>
      <w:r>
        <w:t xml:space="preserve">IV. Abschnitt</w:t>
      </w:r>
    </w:p>
    <w:p>
      <w:r>
        <w:t xml:space="preserve">Effizienzprojekte, Aufteilung der Mittel und Finanzausgleich</w:t>
      </w:r>
    </w:p>
    <w:p>
      <w:r>
        <w:rPr>
          <w:color w:val="555555"/>
          <w:sz w:val="17"/>
        </w:rPr>
        <w:t xml:space="preserve">Zitiervorschlag: § 11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