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REITG — Form der Aktien</w:t>
      </w:r>
    </w:p>
    <w:p>
      <w:r>
        <w:rPr>
          <w:color w:val="555555"/>
          <w:sz w:val="18"/>
        </w:rPr>
        <w:t xml:space="preserve">REIT-Gesetz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Sämtliche Aktien der REIT-Aktiengesellschaft müssen als stimmberechtigte Aktien gleicher Gattung begründet werden. Sie dürfen nur gegen volle Leistung des Ausgabebetrages ausgegeben werden.</w:t>
      </w:r>
    </w:p>
    <w:p>
      <w:r>
        <w:t xml:space="preserve">(2) Ein Anspruch des Aktionärs auf Verbriefung seines Anteils besteht nicht.</w:t>
      </w:r>
    </w:p>
    <w:p>
      <w:r>
        <w:rPr>
          <w:color w:val="555555"/>
          <w:sz w:val="17"/>
        </w:rPr>
        <w:t xml:space="preserve">Zitiervorschlag: § 5 REITG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https://recht.nulegal.eu/gesetze/REITG/5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