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REITG — Verfahrensvorschriften</w:t>
      </w:r>
    </w:p>
    <w:p>
      <w:r>
        <w:rPr>
          <w:color w:val="555555"/>
          <w:sz w:val="18"/>
        </w:rPr>
        <w:t xml:space="preserve">REIT-Gesetz</w:t>
      </w:r>
    </w:p>
    <w:p>
      <w:r>
        <w:rPr>
          <w:color w:val="555555"/>
          <w:sz w:val="18"/>
        </w:rPr>
        <w:t xml:space="preserve">Stand: 10.06.2019 (konsolidierte Textfassung, kein amtliches Inkrafttretensdatum)</w:t>
      </w:r>
    </w:p>
    <w:p>
      <w:r>
        <w:t xml:space="preserve">(1) Auf die Zahlungen nach den §§ 16 und 19a sind die für die Körperschaftsteuer geltenden Vorschriften der Abgabenordnung entsprechend anzuwenden. In öffentlich-rechtlichen Streitigkeiten wegen einer Zahlung ist der Finanzrechtsweg gegeben. Das Aufkommen aus der Zahlung steht je zur Hälfte dem Bund und dem Land zu, in dem die REIT-Aktiengesellschaft ihren Sitz hat.</w:t>
      </w:r>
    </w:p>
    <w:p>
      <w:r>
        <w:t xml:space="preserve">(2) Die REIT-Aktiengesellschaft hat für den abgelaufenen Veranlagungszeitraum eine Steuererklärung abzugeben. In dieser sind neben den Voraussetzungen für die Steuerbefreiung auch Angaben zum Einhalten der Vorgaben über die Zusammensetzung des Vermögens und der Erträge, der Erfüllung der Mindestausschüttungsverpflichtung und der Höhe des Eigenkapitals im Vergleich zum unbeweglichen Vermögen und zur Zusammensetzung der Erträge hinsichtlich vorbelasteter und nicht vorbelasteter Erträge zu machen. § 152 der Abgabenordnung ist mit der Maßgabe anzuwenden, dass ein Verspätungszuschlag auch bei Vorliegen der Voraussetzungen für die Steuerbefreiung festgesetzt werden kann. Bemessungsgrundlage im Sinne des § 152 Absatz 5 Satz 2 der Abgabenordnung ist der nach § 13 Absatz 1 ermittelte auszuschüttende Betrag. Eine beglaubigte Abschrift des besonderen Vermerks nach § 1 Absatz 4 ist der Steuererklärung beizufügen.</w:t>
      </w:r>
    </w:p>
    <w:p>
      <w:r>
        <w:t xml:space="preserve">(3) Nach Aufforderung durch die Finanzbehörde hat die REIT-Aktiengesellschaft die Ermittlung der Angaben nach Absatz 2 darzulegen. Art und Umfang bestimmt die Finanzbehörde. Die Finanzbehörde kann verlangen, dass der jeweilige Abschlussprüfer die Richtigkeit einzelner Angaben bestätigt. Unberührt bleibt das Recht der Finanzbehörde, weitere Sachaufklärung zu betreiben, insbesondere eine Außenprüfung anzuordnen oder Sachverständige hinzuzuziehen.</w:t>
      </w:r>
    </w:p>
    <w:p>
      <w:r>
        <w:rPr>
          <w:color w:val="555555"/>
          <w:sz w:val="17"/>
        </w:rPr>
        <w:t xml:space="preserve">Zitiervorschlag: § 21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