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REITG — Kapitalertragssteuerabzug</w:t>
      </w:r>
    </w:p>
    <w:p>
      <w:r>
        <w:rPr>
          <w:color w:val="555555"/>
          <w:sz w:val="18"/>
        </w:rPr>
        <w:t xml:space="preserve">REIT-Gesetz</w:t>
      </w:r>
    </w:p>
    <w:p>
      <w:r>
        <w:rPr>
          <w:color w:val="555555"/>
          <w:sz w:val="18"/>
        </w:rPr>
        <w:t xml:space="preserve">Stand: 10.06.2019 (konsolidierte Textfassung, kein amtliches Inkrafttretensdatum)</w:t>
      </w:r>
    </w:p>
    <w:p>
      <w:r>
        <w:t xml:space="preserve">(1) Von den Ausschüttungen, sonstigen Vorteilen und Bezügen nach Kapitalherabsetzung oder Auflösung einer inländischen REIT-Aktiengesellschaft oder einer anderen REIT-Körperschaft, -Personenvereinigung oder -Vermögensmasse und von den Gewinnen aus der Veräußerung von Aktien an REIT-Aktiengesellschaften oder Anteilen an anderen REIT-Körperschaften, -Personenvereinigungen oder -Vermögensmassen wird die Einkommensteuer oder Körperschaftsteuer durch Abzug vom Kapitalertrag erhoben. Die für die Kapitalertragsteuer nach § 43 Absatz 1 Satz 1 Nummer 1, 1a, 6, 9 und Satz 2 des Einkommensteuergesetzes geltenden Vorschriften des Einkommensteuergesetzes sind entsprechend anzuwenden.</w:t>
      </w:r>
    </w:p>
    <w:p>
      <w:r>
        <w:t xml:space="preserve">(2) (weggefallen)</w:t>
      </w:r>
    </w:p>
    <w:p>
      <w:r>
        <w:t xml:space="preserve">(3) In der Steuerbescheinigung nach § 45a des Einkommensteuergesetzes ist anzugeben, dass es sich um Bezüge von einer REIT-Aktiengesellschaft handelt.</w:t>
      </w:r>
    </w:p>
    <w:p>
      <w:r>
        <w:t xml:space="preserve">(4) Für die Anrechnung der einbehaltenen und abgeführten Kapitalertragsteuer nach § 36 Abs. 2 des Einkommensteuergesetzes oder deren Erstattung nach § 50d des Einkommensteuergesetzes gelten die Vorschriften des Einkommensteuergesetzes entsprechend. Werden 10 Prozent oder mehr der Aktien, der stimmberechtigten Aktien oder der Stimmrechte indirekt gehalten oder kontrolliert, so wird im Fall der Anwendung eines Doppelbesteuerungsabkommens ungeachtet darin enthaltener oder für seine Anwendung vereinbarter weitergehender Vergünstigungen die deutsche Quellensteuer auf die Ausschüttungen stets mit dem Satz erhoben, den das Doppelbesteuerungsabkommen für Fälle des indirekten Haltens oder der Kontrolle von weniger als 10 Prozent der Aktien, der stimmberechtigten Aktien oder der Stimmrechte vorsieht. Satz 2 gilt ebenfalls, wenn weniger als 10 Prozent der Aktien, der stimmberechtigten Aktien oder der Stimmrechte indirekt gehalten oder kontrolliert werden und dem Anteilseigner zugleich direkt Aktien nach Maßgabe des § 16 Abs. 2 zuzurechnen sind und bei Zusammenrechnung 10 Prozent oder mehr der Aktien, der stimmberechtigten Aktien oder der Stimmrechte gehalten oder kontrolliert werden.</w:t>
      </w:r>
    </w:p>
    <w:p>
      <w:r>
        <w:rPr>
          <w:color w:val="555555"/>
          <w:sz w:val="17"/>
        </w:rPr>
        <w:t xml:space="preserve">Zitiervorschlag: § 20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