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REITG — Berücksichtigung von Vorbelastungen bei der Besteuerung der Anteilsinhaber</w:t>
      </w:r>
    </w:p>
    <w:p>
      <w:r>
        <w:rPr>
          <w:color w:val="555555"/>
          <w:sz w:val="18"/>
        </w:rPr>
        <w:t xml:space="preserve">REIT-Gesetz</w:t>
      </w:r>
    </w:p>
    <w:p>
      <w:r>
        <w:rPr>
          <w:color w:val="555555"/>
          <w:sz w:val="18"/>
        </w:rPr>
        <w:t xml:space="preserve">Stand: 10.06.2019 (konsolidierte Textfassung, kein amtliches Inkrafttretensdatum)</w:t>
      </w:r>
    </w:p>
    <w:p>
      <w:r>
        <w:t xml:space="preserve">(1) Abweichend von § 19 Abs. 3 sind § 3 Nr. 40 und § 3c Abs. 2 des Einkommensteuergesetzes sowie § 8b des Körperschaftsteuergesetzes anzuwenden, soweit die Dividenden einer REIT-Aktiengesellschaft oder einer anderen REIT-Körperschaft, -Personenvereinigung oder -Vermögensmasse aus vorbelasteten Teilen des Gewinns stammen. Auf die Wertminderung einer Beteiligung an einer REIT-Aktiengesellschaft oder anderen Körperschaft, Personenvereinigung oder Vermögensmasse ist § 8b des Körperschaftsteuergesetzes oder § 3c Abs. 2 des Einkommensteuergesetzes anzuwenden, soweit sie auf Dividenden im Sinne von Satz 1 beruht.</w:t>
      </w:r>
    </w:p>
    <w:p>
      <w:r>
        <w:t xml:space="preserve">(2) Dividenden stammen im Sinne des Absatzes 1 aus vorbelasteten Teilen des Gewinns, wenn hierfür Einkünfte der REIT-Aktiengesellschaft oder der anderen REIT-Körperschaft, -Personenvereinigung oder -Vermögensmasse als verwendet gelten, die mit mindestens 15 Prozent deutscher Körperschaftsteuer oder einer mit dieser vergleichbaren ausländischen Steuer für den jeweiligen Veranlagungszeitraum belastet sind. Die Steuerbelastung ist dabei für jede Beteiligung an einer Kapitalgesellschaft oder einer Immobilienpersonengesellschaft und für jede Immobilie im Sinne des § 1 Abs. 1 Nr. 1 Buchstabe a und b getrennt zu ermitteln. Abzustellen ist für jede Beteiligung an einer Immobilienpersonengesellschaft oder jede einzelne Immobilie im Sinne des § 1 Abs. 1 Nr. 1 Buchstabe a und b auf die jeweilige Steuerbelastung der Einkünfte in dem Wirtschaftsjahr, das dem Jahr der Ausschüttung der REIT-Aktiengesellschaft oder der anderen REIT-Körperschaft, -Personenvereinigung oder -Vermögensmasse vorangeht. Dividenden oder sonstige Bezüge aus einer Beteiligung an einer Kapitalgesellschaft gelten nur als vorbelastete Teile des Gewinns, wenn sie von der Kapitalgesellschaft in dem ersten Wirtschaftsjahr, das dem Wirtschaftsjahr nachfolgt, dessen Gewinn ausgeschüttet wird, an die REIT-Aktiengesellschaft oder die andere REIT-Körperschaft, -Personenvereinigung oder -Vermögensmasse ausgeschüttet werden. Die vorbelasteten Teile des Gewinns der REIT-Aktiengesellschaft oder anderen REIT-Körperschaft, -Personenvereinigung oder -Vermögensmasse gelten als vorrangig ausgeschüttet.</w:t>
      </w:r>
    </w:p>
    <w:p>
      <w:r>
        <w:t xml:space="preserve">(3) Der aus vorbelasteten Gewinnen stammende Teil der Dividende oder der sonstigen Bezüge ist in der Steuerbescheinigung nach § 45a des Einkommensteuergesetzes gesondert auszuweisen. Veranlasst die REIT-Aktiengesellschaft einen zu hohen Ausweis des aus vorbelasteten Gewinnen stammenden Teils der Dividende oder der sonstigen Bezüge, ist die Steuerbescheinigung nach § 45a des Einkommensteuergesetzes nicht zu ändern. Gegen die REIT-Aktiengesellschaft ist bei einem zu hohen Ausweis des aus vorbelasteten Gewinnen stammenden Teils der Dividende von der zuständigen Finanzbehörde entsprechend dem mutmaßlichen Steuerausfall auf der Ebene ihrer Aktionäre eine Zahlung von mindestens 20 Prozent und höchstens 30 Prozent des Betrags festzusetzen, um den die tatsächlich vorbelasteten Gewinne hinter dem Betrag zurückbleiben, von dem bei der Erteilung der Bescheinigung ausgegangen worden ist.</w:t>
      </w:r>
    </w:p>
    <w:p>
      <w:r>
        <w:t xml:space="preserve">(4) Die Absätze 1 und 2 sind bei der Besteuerung von Dividenden und sonstigen Bezügen aus anderen REIT-Körperschaften, -Personenvereinigungen oder -Vermögensmassen nur anzuwenden, wenn der Anleger nachweist, dass für die Dividenden oder sonstigen Bezüge vorbelastete Gewinne der anderen REIT-Körperschaft, -Personenvereinigung oder -Vermögensmasse verwendet worden sind.</w:t>
      </w:r>
    </w:p>
    <w:p>
      <w:r>
        <w:rPr>
          <w:color w:val="555555"/>
          <w:sz w:val="17"/>
        </w:rPr>
        <w:t xml:space="preserve">Zitiervorschlag: § 19a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