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REITG — Beginn der Steuerbefreiung</w:t>
      </w:r>
    </w:p>
    <w:p>
      <w:r>
        <w:rPr>
          <w:color w:val="555555"/>
          <w:sz w:val="18"/>
        </w:rPr>
        <w:t xml:space="preserve">REIT-Gesetz</w:t>
      </w:r>
    </w:p>
    <w:p>
      <w:r>
        <w:rPr>
          <w:color w:val="555555"/>
          <w:sz w:val="18"/>
        </w:rPr>
        <w:t xml:space="preserve">Stand: 01.01.2024 (konsolidierte Textfassung, kein amtliches Inkrafttretensdatum)</w:t>
      </w:r>
    </w:p>
    <w:p>
      <w:r>
        <w:t xml:space="preserve">(1) Die Steuerbefreiung tritt zu Beginn des Wirtschaftsjahres ein, in dem die REIT-Aktiengesellschaft nach der Anmeldung gemäß § 8 unter einer Firma gemäß § 6 in das Handelsregister eingetragen wird.</w:t>
      </w:r>
    </w:p>
    <w:p>
      <w:r>
        <w:t xml:space="preserve">(2) Bei Anwendung des § 13 Abs. 1 und 3 Satz 1 des Körperschaftsteuergesetzes gelten § 3 Nr. 70 Satz 1 Buchstabe b, Satz 2, 3 und § 3c Abs. 3 des Einkommensteuergesetzes entsprechend.</w:t>
      </w:r>
    </w:p>
    <w:p>
      <w:r>
        <w:t xml:space="preserve">(3) Hält die steuerpflichtige Aktiengesellschaft Beteiligungen an Immobilienpersonengesellschaften, ist das unbewegliche Vermögen der Immobilienpersonengesellschaften, soweit es der Beteiligung der Aktiengesellschaft entspricht, mit dem Teilwert anzusetzen. Maßgebend ist der Zeitpunkt der Schlussbilanz der Aktiengesellschaft im Sinne des § 13 Abs. 1 und 3 Satz 1 des Körperschaftsteuergesetzes. Eine mittelbare Beteiligung über eine oder mehrere rechtsfähige Personengesellschaften steht der unmittelbaren Beteiligung gleich, § 15 Abs. 1 Satz 1 Nr. 2 Satz 2 des Einkommensteuergesetzes gilt sinngemäß.</w:t>
      </w:r>
    </w:p>
    <w:p>
      <w:r>
        <w:t xml:space="preserve">(4) Nach einem Verlust der Steuerbefreiung im Sinne des § 18 kann die Steuerbefreiung nicht vor Ablauf von vier Jahren seit dem Verlust wieder aufleben oder beginnen.</w:t>
      </w:r>
    </w:p>
    <w:p>
      <w:r>
        <w:rPr>
          <w:color w:val="555555"/>
          <w:sz w:val="17"/>
        </w:rPr>
        <w:t xml:space="preserve">Zitiervorschlag: § 17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