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REITG — Ausschluss des Immobilienhandels</w:t>
      </w:r>
    </w:p>
    <w:p>
      <w:r>
        <w:rPr>
          <w:color w:val="555555"/>
          <w:sz w:val="18"/>
        </w:rPr>
        <w:t xml:space="preserve">REIT-Gesetz</w:t>
      </w:r>
    </w:p>
    <w:p>
      <w:r>
        <w:rPr>
          <w:color w:val="555555"/>
          <w:sz w:val="18"/>
        </w:rPr>
        <w:t xml:space="preserve">Stand: 10.06.2019 (konsolidierte Textfassung, kein amtliches Inkrafttretensdatum)</w:t>
      </w:r>
    </w:p>
    <w:p>
      <w:r>
        <w:t xml:space="preserve">(1) Die REIT-Aktiengesellschaft darf keinen Handel mit ihrem unbeweglichen Vermögen betreiben.</w:t>
      </w:r>
    </w:p>
    <w:p>
      <w:r>
        <w:t xml:space="preserve">(2) Ein Handel im Sinne von Absatz 1 findet nur statt, wenn die REIT-Aktiengesellschaft sowie ihre in einen Konzernabschluss einzubeziehenden Tochterunternehmen innerhalb der letzten fünf Geschäftsjahre Erlöse aus der Veräußerung von unbeweglichem Vermögen erzielt haben, die mehr als die Hälfte des Wertes des durchschnittlichen Bestandes an unbeweglichem Vermögen innerhalb desselben Zeitraums ausmachen. Zur Ermittlung des durchschnittlichen Bestandes ist auf die Bestände abzustellen, die im Einzel- bzw. Konzernabschluss gemäß § 12 Abs. 1 der REIT-Aktiengesellschaft am Ende jener Geschäftsjahre, die in den Fünfjahreszeitraum einzubeziehen sind, ausgewiesen werden. Besteht die REIT-Aktiengesellschaft noch nicht fünf Jahre, ist auf die Einzel- bzw. Konzernabschlüsse der bisherigen Geschäftsjahre abzustellen.</w:t>
      </w:r>
    </w:p>
    <w:p>
      <w:r>
        <w:rPr>
          <w:color w:val="555555"/>
          <w:sz w:val="17"/>
        </w:rPr>
        <w:t xml:space="preserve">Zitiervorschlag: § 14 REITG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https://recht.nulegal.eu/gesetze/REITG/14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