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REITG — Ausschüttung an die Anleger</w:t>
      </w:r>
    </w:p>
    <w:p>
      <w:r>
        <w:rPr>
          <w:color w:val="555555"/>
          <w:sz w:val="18"/>
        </w:rPr>
        <w:t xml:space="preserve">REIT-Gesetz</w:t>
      </w:r>
    </w:p>
    <w:p>
      <w:r>
        <w:rPr>
          <w:color w:val="555555"/>
          <w:sz w:val="18"/>
        </w:rPr>
        <w:t xml:space="preserve">Stand: 10.06.2019 (konsolidierte Textfassung, kein amtliches Inkrafttretensdatum)</w:t>
      </w:r>
    </w:p>
    <w:p>
      <w:r>
        <w:t xml:space="preserve">(1) Die REIT-Aktiengesellschaft ist verpflichtet, bis zum Ende des folgenden Geschäftsjahres mindestens 90 Prozent ihres handelsrechtlichen Jahresüberschusses im Sinne des § 275 des Handelsgesetzbuchs, gemindert um die Dotierung der Rücklage nach Absatz 3 Satz 1 sowie einen Verlustvortrag des Vorjahres und erhöht um die Auflösung der Rücklage gemäß Absatz 3 Satz 2, an die Aktionäre als Dividende auszuschütten. § 150 des Aktiengesetzes findet keine Anwendung.</w:t>
      </w:r>
    </w:p>
    <w:p>
      <w:r>
        <w:t xml:space="preserve">(2) Bei der Ermittlung des Jahresüberschusses sind planmäßige Abschreibungen nur in gleich bleibenden Jahresraten zulässig.</w:t>
      </w:r>
    </w:p>
    <w:p>
      <w:r>
        <w:t xml:space="preserve">(3) Gewinne einer REIT-Aktiengesellschaft aus der Veräußerung unbeweglichen Vermögens können im handelsrechtlichen Jahresabschluss bis zur Hälfte in eine Rücklage eingestellt werden. Die Rücklage ist bis zum Ablauf des zweiten auf das Jahr der Einstellung folgenden Geschäftsjahres aufzulösen und erhöht den ausschüttungsfähigen Betrag nach Absatz 1, soweit die Rücklage nicht von den Anschaffungs- oder Herstellungskosten von im ersten oder zweiten auf das Jahr der Einstellung folgenden Geschäftsjahres angeschafften oder hergestellten unbeweglichen Vermögens abgezogen worden ist. Gehörte das veräußerte unbewegliche Vermögen bereits zum Beginn der Steuerbefreiung zum Betriebsvermögen der REIT-Aktiengesellschaft, ist der Veräußerungsgewinn als Summe aus dem Veräußerungsgewinn I und dem Veräußerungsgewinn II zu ermitteln. Veräußerungsgewinn I ist die Differenz zwischen dem Buchwert in der Handelsbilanz und dem im Rahmen von steuerlichen Gewinnermittlungen vor dem Beginn der Steuerbefreiung für den Grund und Boden oder das Gebäude angesetzten Wert. Der restliche Veräußerungsgewinn bildet den Veräußerungsgewinn II. Für die Rücklage nach Satz 1 darf nur der Veräußerungsgewinn II verwendet werden.</w:t>
      </w:r>
    </w:p>
    <w:p>
      <w:r>
        <w:rPr>
          <w:color w:val="555555"/>
          <w:sz w:val="17"/>
        </w:rPr>
        <w:t xml:space="preserve">Zitiervorschlag: § 13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