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REITG — Vermögens- und Ertragsanforderungen</w:t>
      </w:r>
    </w:p>
    <w:p>
      <w:r>
        <w:rPr>
          <w:color w:val="555555"/>
          <w:sz w:val="18"/>
        </w:rPr>
        <w:t xml:space="preserve">REIT-Gesetz</w:t>
      </w:r>
    </w:p>
    <w:p>
      <w:r>
        <w:rPr>
          <w:color w:val="555555"/>
          <w:sz w:val="18"/>
        </w:rPr>
        <w:t xml:space="preserve">Stand: 14.03.2026 (konsolidierte Textfassung, kein amtliches Inkrafttretensdatum)</w:t>
      </w:r>
    </w:p>
    <w:p>
      <w:r>
        <w:t xml:space="preserve">(1) Ist die REIT-Aktiengesellschaft zur Aufstellung eines Konzernabschlusses gemäß § 315e des Handelsgesetzbuchs verpflichtet, ist für Zwecke dieser Vorschrift oder der §§ 14 und 15 auf den Konzernabschluss abzustellen, anderenfalls auf den Einzelabschluss gemäß § 325 Abs. 2a des Handelsgesetzbuchs. Dabei ist für Zwecke dieser Vorschrift oder der §§ 14 und 15 für als Finanzinvestition gehaltenes unbewegliches Vermögen der beizulegende Zeitwert im Sinne des IAS 40 maßgebend. Beteiligungen an Immobilienpersonengesellschaften gelten für Zwecke dieser Vorschrift und der §§ 14 und 15 als unbewegliches Vermögen und sind mit dem beizulegenden Zeitwert zu bewerten.</w:t>
      </w:r>
    </w:p>
    <w:p>
      <w:r>
        <w:t xml:space="preserve">(2) Bezogen auf die Summe der Aktiva gemäß Einzel- bzw. Konzernabschluss nach Absatz 1 abzüglich der Ausschüttungsverpflichtung im Sinne des § 13 Abs. 1 und der Rücklagen im Sinne des § 13 Abs. 3</w:t>
      </w:r>
    </w:p>
    <w:p>
      <w:pPr>
        <w:ind w:left="420"/>
      </w:pPr>
      <w:r>
        <w:t xml:space="preserve">1. müssen zum Ende eines jeden Geschäftsjahres mindestens 65 Prozent der Aktiva zum unbeweglichen Vermögen gehören und</w:t>
      </w:r>
    </w:p>
    <w:p>
      <w:pPr>
        <w:ind w:left="420"/>
      </w:pPr>
      <w:r>
        <w:t xml:space="preserve">2. dürfen die Aktiva, die zum Vermögen von in den Konzernabschluss der REIT-Aktiengesellschaft einzubeziehenden REIT-Dienstleistungsgesellschaften gehören, zum Ende eines jeden Geschäftsjahres höchstens 30 Prozent ausmachen.</w:t>
      </w:r>
    </w:p>
    <w:p>
      <w:r>
        <w:t xml:space="preserve">(3) Bezogen auf die gesamten Umsatzerlöse zuzüglich der sonstigen Erträge aus unbeweglichem Vermögen eines Geschäftsjahres gemäß Einzel- bzw. Konzernabschluss nach Absatz 1</w:t>
      </w:r>
    </w:p>
    <w:p>
      <w:pPr>
        <w:ind w:left="420"/>
      </w:pPr>
      <w:r>
        <w:t xml:space="preserve">1. müssen mindestens 65 Prozent der Umsatzerlöse zuzüglich der sonstigen Erträge aus unbeweglichem Vermögen eines Geschäftsjahres aus Vermietung, Leasing, Verpachtung einschließlich immobiliennaher Tätigkeiten oder Veräußerung von unbeweglichem Vermögen stammen und</w:t>
      </w:r>
    </w:p>
    <w:p>
      <w:pPr>
        <w:ind w:left="420"/>
      </w:pPr>
      <w:r>
        <w:t xml:space="preserve">2. darf die Summe der Umsatzerlöse zuzüglich der sonstigen Erträge aus unbeweglichem Vermögen eines Geschäftsjahres von REIT-Dienstleistungsgesellschaften, die in den Konzernabschluss der REIT-Aktiengesellschaft einzubeziehen sind, höchstens 30 Prozent ausmachen.</w:t>
      </w:r>
    </w:p>
    <w:p>
      <w:r>
        <w:t xml:space="preserve">(4) Zu den sonstigen Erträgen aus unbeweglichem Vermögen im Sinne des Absatzes 3 zählen nicht regelmäßig wiederkehrende Erträge, erfolgswirksam erfasste Bewertungsgewinne und -verluste, realisierte Veräußerungsverluste sowie Erträge aus Vermietung, Leasing, Verpachtung und Veräußerung von unbeweglichem Vermögen, soweit sie nicht unter den Umsatzerlösen zu erfassen sind. Bewertungsgewinne und -verluste sind Gewinne und Verluste aus dem Ansatz des als Finanzinvestition gehaltenen unbeweglichen Vermögens im Einzel- bzw. Konzernabschluss nach Absatz 1 mit dem beizulegenden Zeitwert im Sinne des IAS 40. Erfolgt der Ansatz des als Finanzinvestition gehaltenen unbeweglichen Vermögens im Einzel- bzw. Konzernabschluss der REIT-Aktiengesellschaft gemäß IAS 40 mit den fortgeführten Anschaffungskosten, sind in einer Nebenrechnung Bewertungsgewinne und -verluste im Sinne des Satzes 2 zu ermitteln und den sonstigen Erträgen hinzuzusetzen.</w:t>
      </w:r>
    </w:p>
    <w:p>
      <w:r>
        <w:rPr>
          <w:color w:val="555555"/>
          <w:sz w:val="17"/>
        </w:rPr>
        <w:t xml:space="preserve">Zitiervorschlag: § 12 REITG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https://recht.nulegal.eu/gesetze/REITG/12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