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REITG — Streuung der Aktien</w:t>
      </w:r>
    </w:p>
    <w:p>
      <w:r>
        <w:rPr>
          <w:color w:val="555555"/>
          <w:sz w:val="18"/>
        </w:rPr>
        <w:t xml:space="preserve">REIT-Gesetz</w:t>
      </w:r>
    </w:p>
    <w:p>
      <w:r>
        <w:rPr>
          <w:color w:val="555555"/>
          <w:sz w:val="18"/>
        </w:rPr>
        <w:t xml:space="preserve">Stand: 14.03.2026 (konsolidierte Textfassung, kein amtliches Inkrafttretensdatum)</w:t>
      </w:r>
    </w:p>
    <w:p>
      <w:r>
        <w:t xml:space="preserve">(1) Mindestens 15 Prozent der Aktien einer REIT-Aktiengesellschaft müssen sich im Streubesitz befinden. Im Zeitpunkt der Börsenzulassung müssen sich jedoch mindestens 25 Prozent der Aktien im Streubesitz befinden. Den Streubesitz bilden die Aktien derjenigen Aktionäre, denen jeweils weniger als 3 Prozent der Stimmrechte an der REIT-Aktiengesellschaft zustehen. Die Berechnung richtet sich nach den §§ 34 und 36 des Wertpapierhandelsgesetzes.</w:t>
      </w:r>
    </w:p>
    <w:p>
      <w:r>
        <w:t xml:space="preserve">(2) Die REIT-Aktiengesellschaft hat jährlich zum 31. Dezember gegenüber der Bundesanstalt für Finanzdienstleistungsaufsicht die Streubesitzquote ihrer Aktionäre sowie das für die Besteuerung ihres Einkommens nach § 20 der Abgabenordnung zuständige Finanzamt mitzuteilen. Die Bundesanstalt für Finanzdienstleistungsaufsicht teilt diesem Finanzamt mit, wenn die Streubesitzquote von 15 Prozent unterschritten wird.</w:t>
      </w:r>
    </w:p>
    <w:p>
      <w:r>
        <w:t xml:space="preserve">(3) Die REIT-Aktiengesellschaft hat in ihrer Satzung für den Fall der Beendigung der Steuerbefreiung gemäß § 18 Abs. 3 eine Entschädigung aller Aktionäre vorzusehen, denen weniger als 3 Prozent der Stimmrechte zustehen.</w:t>
      </w:r>
    </w:p>
    <w:p>
      <w:r>
        <w:t xml:space="preserve">(4) Kein Anleger darf direkt 10 Prozent oder mehr der Aktien oder Aktien in einem Umfang halten, dass er über 10 Prozent oder mehr der Stimmrechte verfügt. Für die Anwendung dieses Absatzes gelten Aktien, die für Rechnung eines Dritten gehalten werden, als direkt durch den Dritten gehalten.</w:t>
      </w:r>
    </w:p>
    <w:p>
      <w:r>
        <w:t xml:space="preserve">(5) Die Mitteilungspflichten nach § 33 Absatz 1 des Wertpapierhandelsgesetzes und die Pflichten nach § 40 Absatz 1 und 2 des Wertpapierhandelsgesetzes gelten auch dann, wenn ein Meldepflichtiger durch Erwerb, Veräußerung oder auf sonstige Weise 80 Prozent oder 85 Prozent der Stimmrechte an einer REIT-Aktiengesellschaft erreicht, überschreitet oder unterschreitet.</w:t>
      </w:r>
    </w:p>
    <w:p>
      <w:r>
        <w:rPr>
          <w:color w:val="555555"/>
          <w:sz w:val="17"/>
        </w:rPr>
        <w:t xml:space="preserve">Zitiervorschlag: § 11 REITG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https://recht.nulegal.eu/gesetze/REITG/11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