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REITG — Börsenzulassung</w:t>
      </w:r>
    </w:p>
    <w:p>
      <w:r>
        <w:rPr>
          <w:color w:val="555555"/>
          <w:sz w:val="18"/>
        </w:rPr>
        <w:t xml:space="preserve">REIT-Gesetz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Aktien der REIT-Aktiengesellschaft müssen zum Handel an einem organisierten Markt im Sinne des § 2 Absatz 11 des Wertpapierhandelsgesetzes in einem Mitgliedstaat der Europäischen Union oder in einem anderen Vertragsstaat des Abkommens über den Europäischen Wirtschaftsraum zugelassen sein.</w:t>
      </w:r>
    </w:p>
    <w:p>
      <w:r>
        <w:t xml:space="preserve">(2) Der Antrag auf Zulassung gemäß Absatz 1 muss innerhalb von drei Jahren nach Anmeldung der Aktiengesellschaft als Vor-REIT beantragt werden. Die Frist des Satzes 1 kann auf Antrag von der Bundesanstalt für Finanzdienstleistungsaufsicht bis zu zwei Mal um jeweils ein Jahr verlängert werden, wenn Umstände außerhalb des Verantwortungsbereichs des Vor-REIT eine solche Verlängerung rechtfertigen.</w:t>
      </w:r>
    </w:p>
    <w:p>
      <w:r>
        <w:t xml:space="preserve">(3) Wird innerhalb der nach Absatz 2 maßgeblichen Frist kein Antrag gestellt oder wird ein innerhalb dieser Frist gestellter Antrag bestandskräftig abgelehnt, so verliert die Gesellschaft ihren Status als Vor-REIT. Der Status lebt wieder auf, wenn die Zulassung erneut beantragt wird.</w:t>
      </w:r>
    </w:p>
    <w:p>
      <w:r>
        <w:rPr>
          <w:color w:val="555555"/>
          <w:sz w:val="17"/>
        </w:rPr>
        <w:t xml:space="preserve">Zitiervorschlag: § 10 REITG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https://recht.nulegal.eu/gesetze/REITG/10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