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RED-G — Weitere Verwendung der Daten</w:t>
      </w:r>
    </w:p>
    <w:p>
      <w:r>
        <w:rPr>
          <w:color w:val="555555"/>
          <w:sz w:val="18"/>
        </w:rPr>
        <w:t xml:space="preserve">Rechtsextremismus-Datei-Gesetz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abfragende Behörde darf die Daten, auf die sie Zugriff erhalten hat, zur Prüfung, ob der Treffer der gesuchten Person oder der gesuchten Angabe nach § 2 Satz 1 Nummer 3 zuzuordnen ist, für ein Ersuchen um Übermittlung von Erkenntnissen zur Wahrnehmung ihrer jeweiligen Aufgabe zur Aufklärung oder Bekämpfung des gewaltbezogenen Rechtsextremismus und zu den Zwecken nach § 7 nutzen. Eine Nutzung zu einem anderen Zweck als zur Wahrnehmung ihrer jeweiligen Aufgabe zur Aufklärung oder Bekämpfung des gewaltbezogenen Rechtsextremismus ist nur zulässig, soweit</w:t>
      </w:r>
    </w:p>
    <w:p>
      <w:pPr>
        <w:ind w:left="420"/>
      </w:pPr>
      <w:r>
        <w:t xml:space="preserve">1. dies zur Verfolgung einer besonders schweren Straftat oder zur Abwehr einer Gefahr für Leib, Leben, Gesundheit oder Freiheit einer Person erforderlich ist und</w:t>
      </w:r>
    </w:p>
    <w:p>
      <w:pPr>
        <w:ind w:left="420"/>
      </w:pPr>
      <w:r>
        <w:t xml:space="preserve">2. die Behörde, die die Daten eingegeben hat, der Verwendung zustimmt.</w:t>
      </w:r>
    </w:p>
    <w:p>
      <w:r>
        <w:t xml:space="preserve">(2) Im Eilfall darf die abfragende Behörde die Daten, auf die sie nach § 5 Absatz 2 Satz 1 Zugriff erhalten hat, nur nutzen, soweit dies zur Abwehr der gegenwärtigen Gefahr nach § 5 Absatz 2 Satz 1 unerlässlich ist.</w:t>
      </w:r>
    </w:p>
    <w:p>
      <w:r>
        <w:t xml:space="preserve">(3) Im Falle einer Verwendung nach Absatz 1 Satz 2 oder Absatz 2 sind die Daten zu kennzeichnen. Nach einer Übermittlung ist die Kennzeichnung durch den Empfänger aufrechtzuerhalten; Gleiches gilt für Kennzeichnungen nach § 3 Absatz 3.</w:t>
      </w:r>
    </w:p>
    <w:p>
      <w:r>
        <w:t xml:space="preserve">(4) Soweit das Bundeskriminalamt, die Landeskriminalämter oder weitere beteiligte Polizeivollzugsbehörden nach § 1 Absatz 2 auf Ersuchen oder im Auftrag der das strafrechtliche Ermittlungsverfahren führenden Staatsanwaltschaft die Datei nach § 1 nutzen, übermitteln sie dieser die Daten, auf die sie Zugriff erhalten haben, für die Zwecke der Strafverfolgung. Sie darf die Daten für Ersuchen nach Absatz 1 Satz 1 verwenden. § 487 Absatz 3 der Strafprozessordnung gilt entsprechend.</w:t>
      </w:r>
    </w:p>
    <w:p>
      <w:r>
        <w:rPr>
          <w:color w:val="555555"/>
          <w:sz w:val="17"/>
        </w:rPr>
        <w:t xml:space="preserve">Zitiervorschlag: § 6 RED-G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https://recht.nulegal.eu/gesetze/RED-G/6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