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RED-G — Inhalt der Datei und Speicherungspflicht</w:t>
      </w:r>
    </w:p>
    <w:p>
      <w:r>
        <w:rPr>
          <w:color w:val="555555"/>
          <w:sz w:val="18"/>
        </w:rPr>
        <w:t xml:space="preserve">Rechtsextremismus-Datei-Gesetz</w:t>
      </w:r>
    </w:p>
    <w:p>
      <w:r>
        <w:rPr>
          <w:color w:val="555555"/>
          <w:sz w:val="18"/>
        </w:rPr>
        <w:t xml:space="preserve">Stand: 10.06.2019 (konsolidierte Textfassung, kein amtliches Inkrafttretensdatum)</w:t>
      </w:r>
    </w:p>
    <w:p>
      <w:r>
        <w:t xml:space="preserve">Die beteiligten Behörden sind verpflichtet, bereits erhobene Daten nach § 3 Absatz 1 in der Datei nach § 1 zu speichern, wenn sie gemäß den für sie geltenden Rechtsvorschriften über polizeiliche oder nachrichtendienstliche Erkenntnisse (Erkenntnisse) verfügen, dass die Daten sich beziehen auf</w:t>
      </w:r>
    </w:p>
    <w:p>
      <w:pPr>
        <w:ind w:left="420"/>
      </w:pPr>
      <w:r>
        <w:t xml:space="preserve">1. Personen,</w:t>
      </w:r>
    </w:p>
    <w:p>
      <w:pPr>
        <w:ind w:left="780"/>
      </w:pPr>
      <w:r>
        <w:t xml:space="preserve">a) bei denen Tatsachen die Annahme rechtfertigen, dass sie einer terroristischen Vereinigung nach § 129a des Strafgesetzbuchs mit rechtsextremistischem Hintergrund angehören oder diese unterstützen,</w:t>
      </w:r>
    </w:p>
    <w:p>
      <w:pPr>
        <w:ind w:left="780"/>
      </w:pPr>
      <w:r>
        <w:t xml:space="preserve">b) die als Täter oder Teilnehmer einer rechtsextremistischen Gewalttat Beschuldigte oder rechtskräftig Verurteilte sind;</w:t>
      </w:r>
    </w:p>
    <w:p>
      <w:pPr>
        <w:ind w:left="420"/>
      </w:pPr>
      <w:r>
        <w:t xml:space="preserve">2. Personen, bei denen Tatsachen die Annahme rechtfertigen, dass sie rechtsextremistische Bestrebungen verfolgen und in Verbindung damit zur Gewalt aufrufen, die Anwendung von rechtsextremistisch begründeter Gewalt als Mittel zur Durchsetzung politischer Belange unterstützen, vorbereiten oder durch ihre Tätigkeiten vorsätzlich hervorrufen oder bei denen Schusswaffen ohne die erforderlichen waffenrechtlichen Berechtigungen, Kriegswaffen oder Explosivstoffe aufgefunden wurden, oder</w:t>
      </w:r>
    </w:p>
    <w:p>
      <w:pPr>
        <w:ind w:left="780"/>
      </w:pPr>
      <w:r>
        <w:t xml:space="preserve">a) rechtsextremistische Vereinigungen und Gruppierungen,</w:t>
      </w:r>
    </w:p>
    <w:p>
      <w:pPr>
        <w:ind w:left="780"/>
      </w:pPr>
      <w:r>
        <w:t xml:space="preserve">b) Sachen, Bankverbindungen, Anschriften, Telekommunikationsanschlüsse, Telekommunikationsendgeräte, Internetseiten oder Adressen für elektronische Post,</w:t>
      </w:r>
    </w:p>
    <w:p>
      <w:pPr>
        <w:ind w:left="420"/>
      </w:pPr>
      <w:r>
        <w:t xml:space="preserve">bei denen Tatsachen die Annahme rechtfertigen, dass sie im Zusammenhang mit einer Person nach Nummer 1 oder Nummer 2 stehen und durch sie Hinweise für die Aufklärung oder Bekämpfung des gewaltbezogenen Rechtsextremismus gewonnen werden können,</w:t>
      </w:r>
    </w:p>
    <w:p>
      <w:r>
        <w:t xml:space="preserve">und die Kenntnis der Daten für die Aufklärung oder Bekämpfung des gewaltbezogenen Rechtsextremismus erforderlich ist. Satz 1 gilt nur für Daten, die die beteiligten Behörden nach den für sie geltenden Rechtsvorschriften automatisiert verarbeiten dürfen.</w:t>
      </w:r>
    </w:p>
    <w:p>
      <w:r>
        <w:rPr>
          <w:color w:val="555555"/>
          <w:sz w:val="17"/>
        </w:rPr>
        <w:t xml:space="preserve">Zitiervorschlag: § 2 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