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RED-G — Einschränkung von Grundrechten</w:t>
      </w:r>
    </w:p>
    <w:p>
      <w:r>
        <w:rPr>
          <w:color w:val="555555"/>
          <w:sz w:val="18"/>
        </w:rPr>
        <w:t xml:space="preserve">Rechtsextremismus-Datei-Gesetz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Grundrechte des Brief-, Post- und Fernmeldegeheimnisses (Artikel 10 des Grundgesetzes) und der Unverletzlichkeit der Wohnung (Artikel 13 des Grundgesetzes) werden nach Maßgabe dieses Gesetzes eingeschränkt.</w:t>
      </w:r>
    </w:p>
    <w:p>
      <w:r>
        <w:rPr>
          <w:color w:val="555555"/>
          <w:sz w:val="17"/>
        </w:rPr>
        <w:t xml:space="preserve">Zitiervorschlag: § 14 RED-G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https://recht.nulegal.eu/gesetze/RED-G/14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