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RED-G — Berichtigung, Löschung und Einschränkung der Verarbeitung von Daten</w:t>
      </w:r>
    </w:p>
    <w:p>
      <w:r>
        <w:rPr>
          <w:color w:val="555555"/>
          <w:sz w:val="18"/>
        </w:rPr>
        <w:t xml:space="preserve">Rechtsextremismus-Datei-Gesetz</w:t>
      </w:r>
    </w:p>
    <w:p>
      <w:r>
        <w:rPr>
          <w:color w:val="555555"/>
          <w:sz w:val="18"/>
        </w:rPr>
        <w:t xml:space="preserve">Stand: 02.12.2019 (konsolidierte Textfassung, kein amtliches Inkrafttretensdatum)</w:t>
      </w:r>
    </w:p>
    <w:p>
      <w:r>
        <w:t xml:space="preserve">(1) Unrichtige Daten sind zu berichtigen.</w:t>
      </w:r>
    </w:p>
    <w:p>
      <w:r>
        <w:t xml:space="preserve">(2) Personenbezogene Daten sind zu löschen, wenn ihre Speicherung unzulässig ist oder ihre Kenntnis für die Aufklärung oder Bekämpfung des gewaltbezogenen Rechtsextremismus, insbesondere zur Verhinderung und Verfolgung von Straftaten mit derartigem Hintergrund, nicht mehr erforderlich ist. Sie sind spätestens zu löschen, wenn die zugehörigen Erkenntnisse nach den für die beteiligten Behörden jeweils geltenden Rechtsvorschriften zu löschen sind.</w:t>
      </w:r>
    </w:p>
    <w:p>
      <w:r>
        <w:t xml:space="preserve">(3) An die Stelle einer Löschung tritt eine Einschränkung der Verarbeitung, wenn Grund zu der Annahme besteht, dass durch die Löschung schutzwürdige Interessen eines Betroffenen beeinträchtigt würden. In der Verarbeitung eingeschränkte Daten dürfen nur für den Zweck abgerufen und genutzt werden, für den die Löschung unterblieben ist; sie dürfen auch abgerufen und genutzt werden, soweit dies zur Abwehr einer Gefahr für den Bestand oder die Sicherheit des Staates, für Leib, Leben, Gesundheit oder Freiheit einer Person oder für Sachen von erheblichem Wert, deren Erhaltung und Funktion im besonderen öffentlichen Interesse geboten ist, unerlässlich ist und die Aufklärung des Sachverhalts ansonsten aussichtslos oder wesentlich erschwert wäre oder der Betroffene einwilligt.</w:t>
      </w:r>
    </w:p>
    <w:p>
      <w:r>
        <w:t xml:space="preserve">(4) Die eingebenden Behörden prüfen nach den Fristen, die für die Erkenntnisdaten gelten, und bei der Einzelfallbearbeitung, ob personenbezogene Daten zu berichtigen oder zu löschen sind.</w:t>
      </w:r>
    </w:p>
    <w:p>
      <w:r>
        <w:rPr>
          <w:color w:val="555555"/>
          <w:sz w:val="17"/>
        </w:rPr>
        <w:t xml:space="preserve">Zitiervorschlag: § 12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