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RED-G — Datei zur Bekämpfung des gewaltbezogenen Rechtsextremismus</w:t>
      </w:r>
    </w:p>
    <w:p>
      <w:r>
        <w:rPr>
          <w:color w:val="555555"/>
          <w:sz w:val="18"/>
        </w:rPr>
        <w:t xml:space="preserve">Rechtsextremismus-Datei-Gesetz</w:t>
      </w:r>
    </w:p>
    <w:p>
      <w:r>
        <w:rPr>
          <w:color w:val="555555"/>
          <w:sz w:val="18"/>
        </w:rPr>
        <w:t xml:space="preserve">Stand: 01.07.2020 (konsolidierte Textfassung, kein amtliches Inkrafttretensdatum)</w:t>
      </w:r>
    </w:p>
    <w:p>
      <w:r>
        <w:t xml:space="preserve">(1) Das Bundeskriminalamt, die in der Rechtsverordnung nach § 58 Absatz 1 des Bundespolizeigesetzes bestimmte Bundespolizeibehörde, die Landeskriminalämter, die Verfassungsschutzbehörden des Bundes und der Länder sowie der Militärische Abschirmdienst führen beim Bundeskriminalamt zur Erfüllung ihrer jeweiligen gesetzlichen Aufgaben zur Aufklärung oder Bekämpfung des gewaltbezogenen Rechtsextremismus, insbesondere zur Verhinderung und Verfolgung von Straftaten mit derartigem Hintergrund, eine gemeinsame standardisierte zentrale Datei.</w:t>
      </w:r>
    </w:p>
    <w:p>
      <w:r>
        <w:t xml:space="preserve">(2) Der Bundesminister des Innern, für Bau und Heimat kann, bei Landesbehörden auf Ersuchen des jeweiligen Landes, durch Rechtsverordnung weitere Polizeivollzugsbehörden als beteiligte Behörden zur Teilnahme an der Rechtsextremismus-Datei berechtigen, soweit</w:t>
      </w:r>
    </w:p>
    <w:p>
      <w:pPr>
        <w:ind w:left="420"/>
      </w:pPr>
      <w:r>
        <w:t xml:space="preserve">1. diesen Aufgaben zur Bekämpfung des gewaltbezogenen Rechtsextremismus nicht nur im Einzelfall besonders zugewiesen sind und</w:t>
      </w:r>
    </w:p>
    <w:p>
      <w:pPr>
        <w:ind w:left="420"/>
      </w:pPr>
      <w:r>
        <w:t xml:space="preserve">2. ihr Zugriff auf die Rechtsextremismus-Datei für die Wahrnehmung der Aufgaben nach Nummer 1 erforderlich und dies unter Berücksichtigung der schutzwürdigen Interessen der Betroffenen und der Sicherheitsinteressen der beteiligten Behörden angemessen ist.</w:t>
      </w:r>
    </w:p>
    <w:p>
      <w:r>
        <w:rPr>
          <w:color w:val="555555"/>
          <w:sz w:val="17"/>
        </w:rPr>
        <w:t xml:space="preserve">Zitiervorschlag: § 1 RED-G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