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RDeckInfV</w:t>
      </w:r>
    </w:p>
    <w:p>
      <w:r>
        <w:rPr>
          <w:color w:val="555555"/>
          <w:sz w:val="18"/>
        </w:rPr>
        <w:t xml:space="preserve">Rinder-Deckinfektionen-Verordnung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näherer Anweisung des beamteten Tierarztes sind</w:t>
      </w:r>
    </w:p>
    <w:p>
      <w:pPr>
        <w:ind w:left="420"/>
      </w:pPr>
      <w:r>
        <w:t xml:space="preserve">1. zur künstlichen Besamung seuchenkranker und verdächtiger Rinder verwendete Geräte, soweit sie nicht unschädlich beseitigt werden,</w:t>
      </w:r>
    </w:p>
    <w:p>
      <w:pPr>
        <w:ind w:left="420"/>
      </w:pPr>
      <w:r>
        <w:t xml:space="preserve">2. Standplätze der Tiere und die diesen benachbarten Standplätze nach Geburten, tierärztlichen Behandlungen und bei Verunreinigungen durch krankhafte Ausscheidungen und</w:t>
      </w:r>
    </w:p>
    <w:p>
      <w:pPr>
        <w:ind w:left="420"/>
      </w:pPr>
      <w:r>
        <w:t xml:space="preserve">3. Gegenstände, die Träger des Ansteckungsstoffes sein können,</w:t>
      </w:r>
    </w:p>
    <w:p>
      <w:r>
        <w:t xml:space="preserve">zu reinigen und zu desinfizieren.</w:t>
      </w:r>
    </w:p>
    <w:p>
      <w:r>
        <w:rPr>
          <w:color w:val="555555"/>
          <w:sz w:val="17"/>
        </w:rPr>
        <w:t xml:space="preserve">Zitiervorschlag: § 9 RDeckInfV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https://recht.nulegal.eu/gesetze/RDeckInfV/9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