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RDeckInfV</w:t>
      </w:r>
    </w:p>
    <w:p>
      <w:r>
        <w:rPr>
          <w:color w:val="555555"/>
          <w:sz w:val="18"/>
        </w:rPr>
        <w:t xml:space="preserve">Rinder-Deckinfektionen-Verordnung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Ordnungswidrig im Sinne des § 32 Absatz 2 Nummer 4 Buchstabe a des Tiergesundheitsgesetzes handelt, wer vorsätzlich oder fahrlässig</w:t>
      </w:r>
    </w:p>
    <w:p>
      <w:pPr>
        <w:ind w:left="420"/>
      </w:pPr>
      <w:r>
        <w:t xml:space="preserve">1. entgegen § 3 Nummer 1 ein Rind nicht oder nicht rechtzeitig untersuchen lässt,</w:t>
      </w:r>
    </w:p>
    <w:p>
      <w:pPr>
        <w:ind w:left="420"/>
      </w:pPr>
      <w:r>
        <w:t xml:space="preserve">2. entgegen § 4 Satz 2 nicht sicherstellt, dass Samen beseitigt wird,</w:t>
      </w:r>
    </w:p>
    <w:p>
      <w:pPr>
        <w:ind w:left="420"/>
      </w:pPr>
      <w:r>
        <w:t xml:space="preserve">3. einer vollziehbaren Anordnung nach § 7 oder § 11 zuwiderhandelt,</w:t>
      </w:r>
    </w:p>
    <w:p>
      <w:pPr>
        <w:ind w:left="420"/>
      </w:pPr>
      <w:r>
        <w:t xml:space="preserve">4. entgegen § 8 Satz 2 ein Rind entfernt oder besamt oder einen Bullen zum Decken verwendet oder</w:t>
      </w:r>
    </w:p>
    <w:p>
      <w:pPr>
        <w:ind w:left="420"/>
      </w:pPr>
      <w:r>
        <w:t xml:space="preserve">5. einer mit einer Genehmigung nach § 8 Satz 2 verbundenen vollziehbaren Auflage zuwiderhandelt.</w:t>
      </w:r>
    </w:p>
    <w:p>
      <w:r>
        <w:rPr>
          <w:color w:val="555555"/>
          <w:sz w:val="17"/>
        </w:rPr>
        <w:t xml:space="preserve">Zitiervorschlag: § 13 RDeckInfV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https://recht.nulegal.eu/gesetze/RDeckInfV/13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