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RDeckInfV</w:t>
      </w:r>
    </w:p>
    <w:p>
      <w:r>
        <w:rPr>
          <w:color w:val="555555"/>
          <w:sz w:val="18"/>
        </w:rPr>
        <w:t xml:space="preserve">Rinder-Deckinfektionen-Verordnung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Angeordnete Schutzmaßregeln sind aufzuheben, wenn die Deckinfektion erloschen ist oder der Verdacht auf eine Deckinfektion sich als unbegründet erwiesen hat.</w:t>
      </w:r>
    </w:p>
    <w:p>
      <w:r>
        <w:t xml:space="preserve">(2) Die Deckinfektion gilt als erloschen, wenn</w:t>
      </w:r>
    </w:p>
    <w:p>
      <w:pPr>
        <w:ind w:left="420"/>
      </w:pPr>
      <w:r>
        <w:t xml:space="preserve">1. alle seuchenkranken und seuchenverdächtigen Rinder entfernt worden sind oder die im Bestand verbliebenen seuchenkranken und seuchenverdächtigen Rinder sich als unverdächtig nach Absatz 4 erwiesen haben und</w:t>
      </w:r>
    </w:p>
    <w:p>
      <w:pPr>
        <w:ind w:left="780"/>
      </w:pPr>
      <w:r>
        <w:t xml:space="preserve">a) die ansteckungsverdächtigen Rinder des Bestandes sich als unverdächtig nach Absatz 4 erwiesen haben oder</w:t>
      </w:r>
    </w:p>
    <w:p>
      <w:pPr>
        <w:ind w:left="780"/>
      </w:pPr>
      <w:r>
        <w:t xml:space="preserve">b) in dem Bestand mindestens zwei Jahre seit Feststellung der Infektion ausschließlich künstlich besamt wurde.</w:t>
      </w:r>
    </w:p>
    <w:p>
      <w:r>
        <w:t xml:space="preserve">(3) Der Verdacht auf eine Deckinfektion gilt als unbegründet, wenn die Rinder unverdächtig sind.</w:t>
      </w:r>
    </w:p>
    <w:p>
      <w:r>
        <w:t xml:space="preserve">(4) Unverdächtig sind</w:t>
      </w:r>
    </w:p>
    <w:p>
      <w:pPr>
        <w:ind w:left="420"/>
      </w:pPr>
      <w:r>
        <w:t xml:space="preserve">1. weibliche Rinder, wenn</w:t>
      </w:r>
    </w:p>
    <w:p>
      <w:pPr>
        <w:ind w:left="780"/>
      </w:pPr>
      <w:r>
        <w:t xml:space="preserve">a) bei einer mindestens zweimaligen, in etwa zehntägigem Abstand durchgeführten mikrobiologischen Untersuchung Erreger von Deckinfektionen nicht nachgewiesen und</w:t>
      </w:r>
    </w:p>
    <w:p>
      <w:pPr>
        <w:ind w:left="780"/>
      </w:pPr>
      <w:r>
        <w:t xml:space="preserve">b) bei einer klinischen Untersuchung Anzeichen, die das Vorliegen einer Deckinfektion befürchten lassen, nicht festgestellt wurden;</w:t>
      </w:r>
    </w:p>
    <w:p>
      <w:pPr>
        <w:ind w:left="420"/>
      </w:pPr>
      <w:r>
        <w:t xml:space="preserve">2. Zuchtbullen, wenn</w:t>
      </w:r>
    </w:p>
    <w:p>
      <w:pPr>
        <w:ind w:left="780"/>
      </w:pPr>
      <w:r>
        <w:t xml:space="preserve">a) bei einer dreimaligen, in etwa zehntägigem Abstand durchgeführten mikrobiologischen Untersuchung von Präputialspülflüssigkeit oder von Samen Erreger einer Deckinfektion nicht nachgewiesen wurden,</w:t>
      </w:r>
    </w:p>
    <w:p>
      <w:pPr>
        <w:ind w:left="780"/>
      </w:pPr>
      <w:r>
        <w:t xml:space="preserve">b) bei einer klinischen Untersuchung Anzeichen, die das Vorliegen einer Deckinfektion befürchten lassen, nicht festgestellt wurden und</w:t>
      </w:r>
    </w:p>
    <w:p>
      <w:pPr>
        <w:ind w:left="780"/>
      </w:pPr>
      <w:r>
        <w:t xml:space="preserve">c) während des Zeitraumes der Untersuchung der Bulle abgesondert von weiblichen Tieren gehalten wurde.</w:t>
      </w:r>
    </w:p>
    <w:p>
      <w:r>
        <w:rPr>
          <w:color w:val="555555"/>
          <w:sz w:val="17"/>
        </w:rPr>
        <w:t xml:space="preserve">Zitiervorschlag: § 10 RDeckInfV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https://recht.nulegal.eu/gesetze/RDeckInfV/10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