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RDV — Aufbewahrungsfristen</w:t>
      </w:r>
    </w:p>
    <w:p>
      <w:r>
        <w:rPr>
          <w:color w:val="555555"/>
          <w:sz w:val="18"/>
        </w:rPr>
        <w:t xml:space="preserve">Rechtsdienstleistungsverordnung</w:t>
      </w:r>
    </w:p>
    <w:p>
      <w:r>
        <w:rPr>
          <w:color w:val="555555"/>
          <w:sz w:val="18"/>
        </w:rPr>
        <w:t xml:space="preserve">Stand: 01.01.2025 (konsolidierte Textfassung, kein amtliches Inkrafttretensdatum)</w:t>
      </w:r>
    </w:p>
    <w:p>
      <w:r>
        <w:t xml:space="preserve">(1) Akten und elektronische Akten über registrierte Personen sind für einen Zeitraum von zehn Jahren nach der Löschung der im Rechtsdienstleistungsregister öffentlich bekannt gemachten Daten gemäß § 17 Absatz 1 Satz 1 Nummer 1 bis 4 sowie 6 des Rechtsdienstleistungsgesetzes aufzubewahren.</w:t>
      </w:r>
    </w:p>
    <w:p>
      <w:r>
        <w:t xml:space="preserve">(2) Akten und elektronische Akten über Personen oder Vereinigungen, denen die Erbringung von Rechtsdienstleistungen untersagt worden ist, sind für einen Zeitraum von fünf Jahren nach Ablauf der Dauer der Untersagung aufzubewahren.</w:t>
      </w:r>
    </w:p>
    <w:p>
      <w:r>
        <w:t xml:space="preserve">(3) Akten und elektronische Akten, in denen eine beantragte Registrierung bestandskräftig abgelehnt worden oder eine Untersagung nicht erfolgt ist, sind für einen Zeitraum von fünf Jahren nach der Beendigung des Verfahrens aufzubewahren.</w:t>
      </w:r>
    </w:p>
    <w:p>
      <w:r>
        <w:rPr>
          <w:color w:val="555555"/>
          <w:sz w:val="17"/>
        </w:rPr>
        <w:t xml:space="preserve">Zitiervorschlag: § 7 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