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RDGEG — Diplom-Juristen aus dem Beitrittsgebiet</w:t>
      </w:r>
    </w:p>
    <w:p>
      <w:r>
        <w:rPr>
          <w:color w:val="555555"/>
          <w:sz w:val="18"/>
        </w:rPr>
        <w:t xml:space="preserve">Einführungsgesetz zum Rechtsdienstleistungsgesetz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Personen, die bis zum 9. September 1996 die fachlichen Voraussetzungen für die Zulassung zur Rechtsanwaltschaft nach § 4 des Rechtsanwaltsgesetzes vom 13. September 1990 (GBl. I Nr. 61 S. 1504) erfüllt haben, stehen in den nachfolgenden Vorschriften einer Person mit Befähigung zum Richteramt gleich:</w:t>
      </w:r>
    </w:p>
    <w:p>
      <w:pPr>
        <w:ind w:left="420"/>
      </w:pPr>
      <w:r>
        <w:t xml:space="preserve">1. § 6 Abs. 2 Satz 1 und § 7 Abs. 2 Satz 1 des Rechtsdienstleistungsgesetzes,</w:t>
      </w:r>
    </w:p>
    <w:p>
      <w:pPr>
        <w:ind w:left="420"/>
      </w:pPr>
      <w:r>
        <w:t xml:space="preserve">2. § 78 Absatz 2 und § 79 Abs. 2 Satz 2 Nr. 2 der Zivilprozessordnung,</w:t>
      </w:r>
    </w:p>
    <w:p>
      <w:pPr>
        <w:ind w:left="420"/>
      </w:pPr>
      <w:r>
        <w:t xml:space="preserve">3. § 10 Abs. 2 Satz 2 Nr. 2 des Gesetzes über das Verfahren in Familiensachen und in den Angelegenheiten der freiwilligen Gerichtsbarkeit,</w:t>
      </w:r>
    </w:p>
    <w:p>
      <w:pPr>
        <w:ind w:left="420"/>
      </w:pPr>
      <w:r>
        <w:t xml:space="preserve">4. § 11 Abs. 2 Satz 2 Nr. 2, Abs. 4 Satz 3 des Arbeitsgerichtsgesetzes,</w:t>
      </w:r>
    </w:p>
    <w:p>
      <w:pPr>
        <w:ind w:left="420"/>
      </w:pPr>
      <w:r>
        <w:t xml:space="preserve">5. § 73 Abs. 2 Satz 2 Nr. 2, Abs. 4 Satz 3 und 4 des Sozialgerichtsgesetzes,</w:t>
      </w:r>
    </w:p>
    <w:p>
      <w:pPr>
        <w:ind w:left="420"/>
      </w:pPr>
      <w:r>
        <w:t xml:space="preserve">6. § 67 Abs. 2 Satz 2 Nr. 2, Abs. 4 Satz 4 der Verwaltungsgerichtsordnung,</w:t>
      </w:r>
    </w:p>
    <w:p>
      <w:pPr>
        <w:ind w:left="420"/>
      </w:pPr>
      <w:r>
        <w:t xml:space="preserve">7. § 62 Abs. 2 Satz 2 Nr. 2, Abs. 4 Satz 4 der Finanzgerichtsordnung,</w:t>
      </w:r>
    </w:p>
    <w:p>
      <w:pPr>
        <w:ind w:left="420"/>
      </w:pPr>
      <w:r>
        <w:t xml:space="preserve">8. § 97 Abs. 2 Satz 2 Nr. 2 des Patentgesetzes,</w:t>
      </w:r>
    </w:p>
    <w:p>
      <w:pPr>
        <w:ind w:left="420"/>
      </w:pPr>
      <w:r>
        <w:t xml:space="preserve">9. § 81 Abs. 2 Satz 2 Nr. 2 des Markengesetzes.</w:t>
      </w:r>
    </w:p>
    <w:p>
      <w:r>
        <w:rPr>
          <w:color w:val="555555"/>
          <w:sz w:val="17"/>
        </w:rPr>
        <w:t xml:space="preserve">Zitiervorschlag: § 5 RDGEG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