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4 RDGEG — Vergütung</w:t>
      </w:r>
    </w:p>
    <w:p>
      <w:r>
        <w:rPr>
          <w:color w:val="555555"/>
          <w:sz w:val="18"/>
        </w:rPr>
        <w:t xml:space="preserve">Einführungsgesetz zum Rechtsdienstleistungsgesetz</w:t>
      </w:r>
    </w:p>
    <w:p>
      <w:r>
        <w:rPr>
          <w:color w:val="555555"/>
          <w:sz w:val="18"/>
        </w:rPr>
        <w:t xml:space="preserve">Stand: 01.10.2021 (konsolidierte Textfassung, kein amtliches Inkrafttretensdatum)</w:t>
      </w:r>
    </w:p>
    <w:p>
      <w:r>
        <w:t xml:space="preserve">(1) Für die Vergütung der registrierten Erlaubnisinhaber mit Ausnahme der Frachtprüferinnen und Frachtprüfer gilt § 13d des Rechtsdienstleistungsgesetzes entsprechend.</w:t>
      </w:r>
    </w:p>
    <w:p>
      <w:r>
        <w:t xml:space="preserve">(2) Für die Erstattungsfähigkeit der Vergütung von Kammerrechtsbeiständen gilt § 13d Absatz 3 des Rechtsdienstleistungsgesetzes entsprechend.</w:t>
      </w:r>
    </w:p>
    <w:p>
      <w:r>
        <w:rPr>
          <w:color w:val="555555"/>
          <w:sz w:val="17"/>
        </w:rPr>
        <w:t xml:space="preserve">Zitiervorschlag: § 4 RDGEG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Dieses Dokument: https://recht.nulegal.eu/gesetze/RDGEG/4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