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RDGEG — Gerichtliche Vertretung</w:t>
      </w:r>
    </w:p>
    <w:p>
      <w:r>
        <w:rPr>
          <w:color w:val="555555"/>
          <w:sz w:val="18"/>
        </w:rPr>
        <w:t xml:space="preserve">Einführungsgesetz zum Rechtsdienstleistungsgesetz</w:t>
      </w:r>
    </w:p>
    <w:p>
      <w:r>
        <w:rPr>
          <w:color w:val="555555"/>
          <w:sz w:val="18"/>
        </w:rPr>
        <w:t xml:space="preserve">Stand: 01.01.2022 (konsolidierte Textfassung, kein amtliches Inkrafttretensdatum)</w:t>
      </w:r>
    </w:p>
    <w:p>
      <w:r>
        <w:t xml:space="preserve">(1) Kammerrechtsbeistände stehen in den nachfolgenden Vorschriften einem Rechtsanwalt gleich:</w:t>
      </w:r>
    </w:p>
    <w:p>
      <w:pPr>
        <w:ind w:left="420"/>
      </w:pPr>
      <w:r>
        <w:t xml:space="preserve">1. § 79 Absatz 1 Satz 2 und Absatz 2 Satz 1, § 88 Absatz 2, § 121 Absatz 2 bis 4, § 122 Absatz 1, den §§ 126, 130d und 133 Absatz 2, den §§ 135, 157 und 169 Absatz 2, den §§ 174, 195 und 317 Absatz 5 Satz 2, § 348 Absatz 1 Satz 2 Nummer 2 Buchstabe d, § 397 Absatz 2 und § 702 Absatz 2 Satz 2 der Zivilprozessordnung,</w:t>
      </w:r>
    </w:p>
    <w:p>
      <w:pPr>
        <w:ind w:left="420"/>
      </w:pPr>
      <w:r>
        <w:t xml:space="preserve">2. § 10 Absatz 2 Satz 1, § 11 Satz 4, § 13 Absatz 4, den §§ 14b und 78 Absatz 2 bis 4 des Gesetzes über das Verfahren in Familiensachen und in den Angelegenheiten der freiwilligen Gerichtsbarkeit,</w:t>
      </w:r>
    </w:p>
    <w:p>
      <w:pPr>
        <w:ind w:left="420"/>
      </w:pPr>
      <w:r>
        <w:t xml:space="preserve">3. § 11 Absatz 2 Satz 1 und § 46g des Arbeitsgerichtsgesetzes,</w:t>
      </w:r>
    </w:p>
    <w:p>
      <w:pPr>
        <w:ind w:left="420"/>
      </w:pPr>
      <w:r>
        <w:t xml:space="preserve">4. den §§ 65d und 73 Absatz 2 Satz 1 und Absatz 6 Satz 5 des Sozialgerichtsgesetzes, wenn nicht die Erlaubnis das Sozial- und Sozialversicherungsrecht ausschließt,</w:t>
      </w:r>
    </w:p>
    <w:p>
      <w:pPr>
        <w:ind w:left="420"/>
      </w:pPr>
      <w:r>
        <w:t xml:space="preserve">5. den §§ 55d und 67 Absatz 2 Satz 1 und Absatz 6 Satz 4 der Verwaltungsgerichtsordnung,</w:t>
      </w:r>
    </w:p>
    <w:p>
      <w:pPr>
        <w:ind w:left="420"/>
      </w:pPr>
      <w:r>
        <w:t xml:space="preserve">6. den §§ 52d und 62 Absatz 2 Satz 1 und Absatz 6 Satz 4 der Finanzgerichtsordnung, wenn die Erlaubnis die geschäftsmäßige Hilfeleistung in Steuersachen umfasst.</w:t>
      </w:r>
    </w:p>
    <w:p>
      <w:r>
        <w:t xml:space="preserve">(2) Registrierte Erlaubnisinhaber stehen im Sinn von § 79 Abs. 2 Satz 1 der Zivilprozessordnung, § 10 Abs. 2 Satz 1 des Gesetzes über das Verfahren in Familiensachen und in den Angelegenheiten der freiwilligen Gerichtsbarkeit, § 11 Abs. 2 Satz 1 des Arbeitsgerichtsgesetzes, § 73 Abs. 2 Satz 1 des Sozialgerichtsgesetzes, § 67 Abs. 2 Satz 1 der Verwaltungsgerichtsordnung und § 62 Abs. 2 Satz 1 der Finanzgerichtsordnung einem Rechtsanwalt gleich, soweit ihnen die gerichtliche Vertretung oder das Auftreten in der Verhandlung</w:t>
      </w:r>
    </w:p>
    <w:p>
      <w:pPr>
        <w:ind w:left="420"/>
      </w:pPr>
      <w:r>
        <w:t xml:space="preserve">1. nach dem Umfang ihrer bisherigen Erlaubnis,</w:t>
      </w:r>
    </w:p>
    <w:p>
      <w:pPr>
        <w:ind w:left="420"/>
      </w:pPr>
      <w:r>
        <w:t xml:space="preserve">2. als Prozessagent durch Anordnung der Justizverwaltung nach § 157 Abs. 3 der Zivilprozessordnung in der bis zum 30. Juni 2008 geltenden Fassung,</w:t>
      </w:r>
    </w:p>
    <w:p>
      <w:pPr>
        <w:ind w:left="420"/>
      </w:pPr>
      <w:r>
        <w:t xml:space="preserve">3. durch eine für die Erteilung der Erlaubnis zum mündlichen Verhandeln vor den Sozialgerichten zuständige Stelle,</w:t>
      </w:r>
    </w:p>
    <w:p>
      <w:pPr>
        <w:ind w:left="420"/>
      </w:pPr>
      <w:r>
        <w:t xml:space="preserve">4. nach § 67 der Verwaltungsgerichtsordnung in der bis zum 30. Juni 2008 geltenden Fassung oder</w:t>
      </w:r>
    </w:p>
    <w:p>
      <w:pPr>
        <w:ind w:left="420"/>
      </w:pPr>
      <w:r>
        <w:t xml:space="preserve">5. nach § 13 des Gesetzes über die Angelegenheiten der freiwilligen Gerichtsbarkeit in der bis zum 30. Juni 2008 geltenden Fassung</w:t>
      </w:r>
    </w:p>
    <w:p>
      <w:r>
        <w:t xml:space="preserve">gestattet war. In den Fällen des Satzes 1 Nummer 1 bis 3 ist der Umfang der Befugnis zu registrieren und im Rechtsdienstleistungsregister bekanntzumachen.</w:t>
      </w:r>
    </w:p>
    <w:p>
      <w:r>
        <w:t xml:space="preserve">(3) Das Gericht weist registrierte Erlaubnisinhaber, soweit sie nicht nach Maßgabe des Absatzes 2 zur gerichtlichen Vertretung oder zum Auftreten in der Verhandlung befugt sind, durch unanfechtbaren Beschluss zurück. Prozesshandlungen eines nicht vertretungsbefugten Bevollmächtigten und Zustellungen oder Mitteilungen an diesen Bevollmächtigten sind bis zu seiner Zurückweisung wirksam. Das Gericht kann registrierten Erlaubnisinhabern durch unanfechtbaren Beschluss die weitere Vertretung oder das weitere Auftreten in der Verhandlung untersagen, wenn sie nicht in der Lage sind, das Sach- und Streitverhältnis sachgerecht darzustellen.§ 335 Abs. 1 Nr. 5 der Zivilprozessordnung gilt entsprechend.</w:t>
      </w:r>
    </w:p>
    <w:p>
      <w:r>
        <w:rPr>
          <w:color w:val="555555"/>
          <w:sz w:val="17"/>
        </w:rPr>
        <w:t xml:space="preserve">Zitiervorschlag: § 3 RDGEG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