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RDGEG — Versicherungsberater</w:t>
      </w:r>
    </w:p>
    <w:p>
      <w:r>
        <w:rPr>
          <w:color w:val="555555"/>
          <w:sz w:val="18"/>
        </w:rPr>
        <w:t xml:space="preserve">Einführungsgesetz zum Rechtsdienstleistungsgesetz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Abweichend von § 1 Absatz 1 können Personen mit einer Erlaubnis zur Besorgung fremder Rechtsangelegenheiten auf dem Gebiet der Versicherungsberatung (Artikel 1 § 1 Abs. 1 Satz 2 Nr. 2 des Rechtsberatungsgesetzes) nur eine Erlaubnis als Versicherungsberater nach § 34d Absatz 2 der Gewerbeordnung beantragen.</w:t>
      </w:r>
    </w:p>
    <w:p>
      <w:r>
        <w:rPr>
          <w:color w:val="555555"/>
          <w:sz w:val="17"/>
        </w:rPr>
        <w:t xml:space="preserve">Zitiervorschlag: § 2 RDGEG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https://recht.nulegal.eu/gesetze/RDGEG/2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