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RDG — Umgang mit personenbezogenen Daten; Verordnungsermächtigung</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Gerichte und Behörden dürfen dem Bundesamt für Justiz personenbezogene Daten übermitteln, soweit deren Kenntnis für folgende Zwecke erforderlich ist:</w:t>
      </w:r>
    </w:p>
    <w:p>
      <w:pPr>
        <w:ind w:left="420"/>
      </w:pPr>
      <w:r>
        <w:t xml:space="preserve">1. die Registrierung oder die Rücknahme oder den Widerruf der Registrierung,</w:t>
      </w:r>
    </w:p>
    <w:p>
      <w:pPr>
        <w:ind w:left="420"/>
      </w:pPr>
      <w:r>
        <w:t xml:space="preserve">2. eine Untersagung nach § 9 Absatz 1 oder § 15 Absatz 6,</w:t>
      </w:r>
    </w:p>
    <w:p>
      <w:pPr>
        <w:ind w:left="420"/>
      </w:pPr>
      <w:r>
        <w:t xml:space="preserve">3. eine Aufsichtsmaßnahme nach § 13h,</w:t>
      </w:r>
    </w:p>
    <w:p>
      <w:pPr>
        <w:ind w:left="420"/>
      </w:pPr>
      <w:r>
        <w:t xml:space="preserve">4. eine Maßnahme nach § 15b oder</w:t>
      </w:r>
    </w:p>
    <w:p>
      <w:pPr>
        <w:ind w:left="420"/>
      </w:pPr>
      <w:r>
        <w:t xml:space="preserve">5. die europäische Verwaltungszusammenarbeit nach Absatz 2.</w:t>
      </w:r>
    </w:p>
    <w:p>
      <w:r>
        <w:t xml:space="preserve">Satz 1 gilt nur, soweit durch die Übermittlung der Daten schutzwürdige Interessen der Person nicht beeinträchtigt werden oder soweit das öffentliche Interesse das Geheimhaltungsinteresse der Person überwiegt.</w:t>
      </w:r>
    </w:p>
    <w:p>
      <w:r>
        <w:t xml:space="preserve">(2) Für die Verwaltungszusammenarbeit mit Behörden anderer Mitgliedstaaten der Europäischen Union, anderer Vertragsstaaten des Europäischen Wirtschaftsraums und der Schweiz gelten die §§ 8a bis 8d des Verwaltungsverfahrensgesetzes entsprechend. Für diese Verwaltungszusammenarbeit ist das Binnenmarkt-Informationssystem der Europäischen Union zu nutzen.</w:t>
      </w:r>
    </w:p>
    <w:p>
      <w:r>
        <w:t xml:space="preserve">(2a) Wird in einem verwaltungsgerichtlichen Verfahren festgestellt, dass eine Person bei einem Antrag auf Anerkennung ihrer Berufsqualifikation nach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einen gefälschten Berufsqualifikationsnachweis verwendet hat, hat das Bundesamt für Justiz die Angaben zur Identität der Person und die Tatsache, dass sie einen gefälschten Berufsqualifikationsnachweis verwendet hat, binnen drei Tagen nach Rechtskraft der gerichtlichen Entscheidung über das Binnenmarkt-Informationssystem den anderen Mitgliedstaaten der Europäischen Union, den anderen Vertragsstaaten des Abkommens über den Europäischen Wirtschaftsraum und der Schweiz mitzuteilen. § 38 Absatz 2 des Gesetzes über die Tätigkeit europäischer Rechtsanwälte in Deutschland gilt entsprechend.</w:t>
      </w:r>
    </w:p>
    <w:p>
      <w:r>
        <w:t xml:space="preserve">(3) Das Bundesministerium der Justiz wird ermächtigt, die Einzelheiten des Umgangs mit personenbezogenen Daten, insbesondere der Veröffentlichung in dem Rechtsdienstleistungsregister, der Einsichtnahme in das Register, der Datenübermittlung einschließlich des automatisierten Datenabrufs und der Amtshilfe, durch Rechtsverordnung ohne Zustimmung des Bundesrates zu regeln.</w:t>
      </w:r>
    </w:p>
    <w:p>
      <w:r>
        <w:rPr>
          <w:color w:val="555555"/>
          <w:sz w:val="17"/>
        </w:rPr>
        <w:t xml:space="preserve">Zitiervorschlag: § 18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