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RDG — Löschung von Veröffentlichungen; Verordnungsermächtigung</w:t>
      </w:r>
    </w:p>
    <w:p>
      <w:r>
        <w:rPr>
          <w:color w:val="555555"/>
          <w:sz w:val="18"/>
        </w:rPr>
        <w:t xml:space="preserve">Rechtsdienstleistungsgesetz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Das Bundesamt für Justiz hat die im Rechtsdienstleistungsregister öffentlich bekanntgemachten Daten zu löschen:</w:t>
      </w:r>
    </w:p>
    <w:p>
      <w:pPr>
        <w:ind w:left="420"/>
      </w:pPr>
      <w:r>
        <w:t xml:space="preserve">1. bei registrierten Personen mit dem Verzicht auf die Registrierung,</w:t>
      </w:r>
    </w:p>
    <w:p>
      <w:pPr>
        <w:ind w:left="420"/>
      </w:pPr>
      <w:r>
        <w:t xml:space="preserve">2. bei natürlichen Personen mit ihrem Tod,</w:t>
      </w:r>
    </w:p>
    <w:p>
      <w:pPr>
        <w:ind w:left="420"/>
      </w:pPr>
      <w:r>
        <w:t xml:space="preserve">3. bei juristischen Personen und rechtsfähigen Personengesellschaften mit ihrer Beendigung,</w:t>
      </w:r>
    </w:p>
    <w:p>
      <w:pPr>
        <w:ind w:left="420"/>
      </w:pPr>
      <w:r>
        <w:t xml:space="preserve">4. bei Personen, deren Registrierung zurückgenommen oder widerrufen worden ist, mit der Bestandskraft der Entscheidung,</w:t>
      </w:r>
    </w:p>
    <w:p>
      <w:pPr>
        <w:ind w:left="420"/>
      </w:pPr>
      <w:r>
        <w:t xml:space="preserve">5. bei Personen oder Vereinigungen, denen die Erbringung von Rechtsdienstleistungen nach § 9 Abs. 1 untersagt ist, nach Ablauf der Dauer der Untersagung,</w:t>
      </w:r>
    </w:p>
    <w:p>
      <w:pPr>
        <w:ind w:left="420"/>
      </w:pPr>
      <w:r>
        <w:t xml:space="preserve">6. bei Personen oder Gesellschaften nach § 15 mit Ablauf eines Jahres nach der vorübergehenden Registrierung oder ihrer letzten Verlängerung, im Fall der Untersagung nach § 15 Absatz 6 mit Bestandskraft der Untersagung.</w:t>
      </w:r>
    </w:p>
    <w:p>
      <w:r>
        <w:t xml:space="preserve">Wird im Fall des Satzes 1 Nummer 2 oder 4 ein Abwickler bestellt, erfolgt eine Löschung erst nach Beendigung der Abwicklung.</w:t>
      </w:r>
    </w:p>
    <w:p>
      <w:r>
        <w:t xml:space="preserve">(2) Das Bundesministerium der Justiz wird ermächtigt, durch Rechtsverordnung ohne Zustimmung des Bundesrates die Einzelheiten des Löschungsverfahrens zu regeln.</w:t>
      </w:r>
    </w:p>
    <w:p>
      <w:r>
        <w:rPr>
          <w:color w:val="555555"/>
          <w:sz w:val="17"/>
        </w:rPr>
        <w:t xml:space="preserve">Zitiervorschlag: § 17 RDG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