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15a RDG — Statistik</w:t>
      </w:r>
    </w:p>
    <w:p>
      <w:r>
        <w:rPr>
          <w:color w:val="555555"/>
          <w:sz w:val="18"/>
        </w:rPr>
        <w:t xml:space="preserve">Rechtsdienstleistungsgesetz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Verfahren nach § 12 Absatz 3 Satz 4 und § 15 wird eine Bundesstatistik durchgeführt. § 17 des Berufsqualifikationsfeststellungsgesetzes ist anzuwenden.</w:t>
      </w:r>
    </w:p>
    <w:p>
      <w:r>
        <w:rPr>
          <w:color w:val="555555"/>
          <w:sz w:val="17"/>
        </w:rPr>
        <w:t xml:space="preserve">Zitiervorschlag: § 15a RDG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https://recht.nulegal.eu/gesetze/RDG/15a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