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RDG — Widerruf der Registrierung</w:t>
      </w:r>
    </w:p>
    <w:p>
      <w:r>
        <w:rPr>
          <w:color w:val="555555"/>
          <w:sz w:val="18"/>
        </w:rPr>
        <w:t xml:space="preserve">Rechtsdienstleistungsgesetz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Das Bundesamt für Justiz widerruft die Registrierung unbeschadet des § 49 des Verwaltungsverfahrensgesetzes oder entsprechender landesrechtlicher Vorschriften,</w:t>
      </w:r>
    </w:p>
    <w:p>
      <w:pPr>
        <w:ind w:left="420"/>
      </w:pPr>
      <w:r>
        <w:t xml:space="preserve">1. wenn begründete Tatsachen die Annahme rechtfertigen, dass die registrierte Person oder eine qualifizierte Person die erforderliche persönliche Eignung oder Zuverlässigkeit nicht mehr besitzt; dies ist in der Regel der Fall, wenn einer der in § 12 Abs. 1 Nr. 1 genannten Gründe nachträglich eintritt oder die registrierte Person beharrlich Änderungsmitteilungen nach § 13 Absatz 4 Satz 1 oder Mitteilungen nach § 13 Absatz 5 Satz 1 oder 2 unterlässt,</w:t>
      </w:r>
    </w:p>
    <w:p>
      <w:pPr>
        <w:ind w:left="420"/>
      </w:pPr>
      <w:r>
        <w:t xml:space="preserve">2. wenn die registrierte Person keine Berufshaftpflichtversicherung nach § 12 Abs. 1 Nr. 3 mehr unterhält,</w:t>
      </w:r>
    </w:p>
    <w:p>
      <w:pPr>
        <w:ind w:left="420"/>
      </w:pPr>
      <w:r>
        <w:t xml:space="preserve">3. wenn begründete Tatsachen die Annahme dauerhaft unqualifizierter Rechtsdienstleistungen zum Nachteil der Rechtsuchenden oder des Rechtsverkehrs rechtfertigen; dies ist in der Regel der Fall, wenn die registrierte Person in erheblichem Umfang Rechtsdienstleistungen über die eingetragene Befugnis hinaus erbringt oder beharrlich gegen Auflagen, Darlegungs- und Informationspflichten nach den §§ 13a oder 13b oder Pflichten nach § 13g verstößt,</w:t>
      </w:r>
    </w:p>
    <w:p>
      <w:pPr>
        <w:ind w:left="420"/>
      </w:pPr>
      <w:r>
        <w:t xml:space="preserve">4. wenn eine juristische Person oder eine rechtsfähige Personengesellschaft, die keine weitere qualifizierte Person benannt hat, bei Ausscheiden der qualifizierten Person nicht innerhalb von sechs Monaten eine qualifizierte Person benennt.</w:t>
      </w:r>
    </w:p>
    <w:p>
      <w:r>
        <w:t xml:space="preserve">Für die Entscheidung über einen Widerruf nach Satz 1 Nummer 1 in Verbindung mit § 12 Absatz 1 Nummer 1 Buchstabe a gilt § 15 der Bundesrechtsanwaltsordnung entsprechend.</w:t>
      </w:r>
    </w:p>
    <w:p>
      <w:r>
        <w:rPr>
          <w:color w:val="555555"/>
          <w:sz w:val="17"/>
        </w:rPr>
        <w:t xml:space="preserve">Zitiervorschlag: § 14 RDG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https://recht.nulegal.eu/gesetze/RDG/14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