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RDG — Darlegungs- und Informationspflichten bei Inkassodienstleistungen für Verbraucher</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(1) Inkassodienstleister, die für einen Verbraucher tätig werden, müssen diesem vor Abgabe seiner Vertragserklärung über eine Inkassodienstleistung folgende Informationen in klarer und verständlicher Weise zur Verfügung stellen:</w:t>
      </w:r>
    </w:p>
    <w:p>
      <w:pPr>
        <w:ind w:left="420"/>
      </w:pPr>
      <w:r>
        <w:t xml:space="preserve">1. falls ein Erfolgshonorar (§ 49b Absatz 2 Satz 1 der Bundesrechtsanwaltsordnung) vereinbart werden soll, einen Hinweis darauf, welche anderen Möglichkeiten zur Durchsetzung der Forderung bestehen, insbesondere, wenn diese es dem Verbraucher im Erfolgsfall ermöglichen, seine Forderung in voller Höhe zu realisieren,</w:t>
      </w:r>
    </w:p>
    <w:p>
      <w:pPr>
        <w:ind w:left="420"/>
      </w:pPr>
      <w:r>
        <w:t xml:space="preserve">2. falls Kostenrisiken durch einen Prozessfinanzierer abgesichert werden sollen, einen Hinweis hierauf und auf die mit dem Prozessfinanzierer im Hinblick auf die Prozessführung getroffenen Vereinbarungen,</w:t>
      </w:r>
    </w:p>
    <w:p>
      <w:pPr>
        <w:ind w:left="420"/>
      </w:pPr>
      <w:r>
        <w:t xml:space="preserve">3. falls der Inkassodienstleister berechtigt sein soll, mit dem Schuldner einen Vergleich zu schließen, einen Hinweis hierauf und insbesondere Erläuterungen dazu,</w:t>
      </w:r>
    </w:p>
    <w:p>
      <w:pPr>
        <w:ind w:left="780"/>
      </w:pPr>
      <w:r>
        <w:t xml:space="preserve">a) ob der Vergleichsschluss der vorherigen Zustimmung des Verbrauchers bedarf oder ob und unter welchen Voraussetzungen er von ihm widerrufen werden kann,</w:t>
      </w:r>
    </w:p>
    <w:p>
      <w:pPr>
        <w:ind w:left="780"/>
      </w:pPr>
      <w:r>
        <w:t xml:space="preserve">b) wie sich die Ablehnung oder der Widerruf eines Vergleichsschlusses durch den Verbraucher auf die Vergütung des Inkassodienstleisters und das weitere Verfahren auswirkt,</w:t>
      </w:r>
    </w:p>
    <w:p>
      <w:pPr>
        <w:ind w:left="780"/>
      </w:pPr>
      <w:r>
        <w:t xml:space="preserve">c) wie sich ein Vergleichsschluss auf die Vergütung des Inkassodienstleisters auswirkt,</w:t>
      </w:r>
    </w:p>
    <w:p>
      <w:pPr>
        <w:ind w:left="780"/>
      </w:pPr>
      <w:r>
        <w:t xml:space="preserve">d) welche Auswirkungen es auf einen Vergleichsschluss haben kann, wenn Forderungen mehrerer Personen zum Gegenstand eines Vergleichs gemacht werden sollen, sofern dies beabsichtigt ist, sowie</w:t>
      </w:r>
    </w:p>
    <w:p>
      <w:pPr>
        <w:ind w:left="420"/>
      </w:pPr>
      <w:r>
        <w:t xml:space="preserve">4. Bezeichnung, Anschrift und elektronische Erreichbarkeit der für den Inkassodienstleister zuständigen Aufsichtsbehörde.</w:t>
      </w:r>
    </w:p>
    <w:p>
      <w:r>
        <w:t xml:space="preserve">(2) Inkassodienstleister, die für Verbraucher tätig werden, müssen Verbrauchern, für die sie im Einzelfall nicht tätig werden wollen, die hierfür wesentlichen Gründe mit der Ablehnung der Tätigkeit in Textform mitteilen. In der Mitteilung ist darauf hinzuweisen, ob eine rechtliche Prüfung der Forderung stattgefunden hat und ob diese ganz oder teilweise automatisiert vorgenommen wurde. Die Mitteilung ist mit einem Hinweis zu verbinden, dass die Ablehnung der Tätigkeit andere Möglichkeiten zur Durchsetzung der Forderung unberührt lässt.</w:t>
      </w:r>
    </w:p>
    <w:p>
      <w:r>
        <w:rPr>
          <w:color w:val="555555"/>
          <w:sz w:val="17"/>
        </w:rPr>
        <w:t xml:space="preserve">Zitiervorschlag: § 13b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