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RDG — Registrierungsvoraussetzungen; Verordnungsermächtigung</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Voraussetzungen für die Registrierung sind</w:t>
      </w:r>
    </w:p>
    <w:p>
      <w:pPr>
        <w:ind w:left="420"/>
      </w:pPr>
      <w:r>
        <w:t xml:space="preserve">1. persönliche Eignung und Zuverlässigkeit; hieran fehlt es in der Regel, wenn</w:t>
      </w:r>
    </w:p>
    <w:p>
      <w:pPr>
        <w:ind w:left="780"/>
      </w:pPr>
      <w:r>
        <w:t xml:space="preserve">a) die Person aus gesundheitlichen Gründen nicht nur vorübergehend unfähig ist, die beantragte Tätigkeit ordnungsgemäß auszuüben,</w:t>
      </w:r>
    </w:p>
    <w:p>
      <w:pPr>
        <w:ind w:left="780"/>
      </w:pPr>
      <w:r>
        <w:t xml:space="preserve">b) die Person eine Tätigkeit ausübt, die mit der beantragten Tätigkeit nicht vereinbar ist, insbesondere weil die Wahrscheinlichkeit einer über den Einzelfall hinausgehenden Pflichtenkollision besteht,</w:t>
      </w:r>
    </w:p>
    <w:p>
      <w:pPr>
        <w:ind w:left="780"/>
      </w:pPr>
      <w:r>
        <w:t xml:space="preserve">c) die Vermögensverhältnisse der Person ungeordnet sind,</w:t>
      </w:r>
    </w:p>
    <w:p>
      <w:pPr>
        <w:ind w:left="780"/>
      </w:pPr>
      <w:r>
        <w:t xml:space="preserve">d) einer der in § 7 Satz 1 Nummer 1, 2 oder 6 der Bundesrechtsanwaltsordnung genannten Gründe vorliegt oder</w:t>
      </w:r>
    </w:p>
    <w:p>
      <w:pPr>
        <w:ind w:left="780"/>
      </w:pPr>
      <w:r>
        <w:t xml:space="preserve">e) die Person in den letzten drei Jahren vor der Antragstellung</w:t>
      </w:r>
    </w:p>
    <w:p>
      <w:pPr>
        <w:ind w:left="1140"/>
      </w:pPr>
      <w:r>
        <w:t xml:space="preserve">aa) wegen eines Verbrechens oder eines die Berufsausübung betreffenden Vergehens rechtskräftig verurteilt worden ist oder</w:t>
      </w:r>
    </w:p>
    <w:p>
      <w:pPr>
        <w:ind w:left="1140"/>
      </w:pPr>
      <w:r>
        <w:t xml:space="preserve">bb) aus der Rechts- oder Patentanwaltschaft oder einem im Steuerberatungsgesetz oder in der Wirtschaftsprüferordnung geregelten Beruf ausgeschlossen, im Disziplinarverfahren aus dem notariellen Amt oder dem Dienst in der Rechtspflege entfernt oder im Verfahren über die Richteranklage entlassen worden ist oder sie einer dieser Maßnahmen durch einen Verzicht zuvorgekommen ist,</w:t>
      </w:r>
    </w:p>
    <w:p>
      <w:pPr>
        <w:ind w:left="420"/>
      </w:pPr>
      <w:r>
        <w:t xml:space="preserve">2. theoretische und praktische Sachkunde in dem Bereich oder den Teilbereichen des § 10 Abs. 1, in denen die Rechtsdienstleistungen erbracht werden sollen,</w:t>
      </w:r>
    </w:p>
    <w:p>
      <w:pPr>
        <w:ind w:left="420"/>
      </w:pPr>
      <w:r>
        <w:t xml:space="preserve">3. eine Berufshaftpflichtversicherung mit einer Mindestversicherungssumme von 250 000 Euro für jeden Versicherungsfall.</w:t>
      </w:r>
    </w:p>
    <w:p>
      <w:r>
        <w:t xml:space="preserve">(2) Die Vermögensverhältnisse einer Person sind in der Regel ungeordnet, wenn über ihr Vermögen das Insolvenzverfahren eröffnet worden oder sie in das vom Vollstreckungsgericht zu führende Verzeichnis (§ 26 Abs. 2 der Insolvenzordnung, § 882b der Zivilprozessordnung) eingetragen ist. Ungeordnete Vermögensverhältnisse liegen nicht vor, wenn im Fall der Insolvenzeröffnung die Gläubigerversammlung einer Fortführung des Unternehmens auf der Grundlage eines Insolvenzplans zugestimmt und das Gericht den Plan bestätigt hat, oder wenn die Vermögensinteressen der Rechtsuchenden aus anderen Gründen nicht konkret gefährdet sind.</w:t>
      </w:r>
    </w:p>
    <w:p>
      <w:r>
        <w:t xml:space="preserve">(3) Die theoretische Sachkunde ist durch Zeugnisse nachzuweisen. Praktische Sachkunde setzt in der Regel eine mindestens zwei Jahre unter Anleitung erfolgte Berufsausübung oder praktische Berufsausbildung voraus. In der Regel müssen im Fall des § 10 Absatz 1 Satz 1 Nummer 1 zumindest zwölf Monate, im Fall des § 10 Absatz 1 Satz 1 Nummer 2 zumindest 18 Monate der Berufsausübung oder -ausbildung im Inland erfolgen. Ist die Person berechtigt, in einem anderen Mitgliedstaat der Europäischen Union, einem anderen Vertragsstaat des Abkommens über den Europäischen Wirtschaftsraum oder der Schweiz einen der in § 10 Absatz 1 Satz 1 Nummer 1 oder 2 genannten Berufe oder einen vergleichbaren Beruf auszuüben, und liegen die Voraussetzungen des § 1 Absatz 2 und 3 des Gesetzes über die Tätigkeit europäischer Patentanwälte in Deutschland sinngemäß vor, so kann die Sachkunde unter Berücksichtigung der bestehenden Berufsqualifikation auch durch einen mindestens sechsmonatigen Anpassungslehrgang nachgewiesen werden. Das Berufsqualifikationsfeststellungsgesetz ist nicht anzuwenden.</w:t>
      </w:r>
    </w:p>
    <w:p>
      <w:r>
        <w:t xml:space="preserve">(4) Juristische Personen und rechtsfähige Personengesellschaften müssen mindestens eine natürliche Person benennen, die alle nach Absatz 1 Nr. 1 und 2 erforderlichen Voraussetzungen erfüllt (qualifizierte Person). Die qualifizierte Person muss in dem Unternehmen dauerhaft beschäftigt, in allen Angelegenheiten, die Rechtsdienstleistungen des Unternehmens betreffen, weisungsunabhängig und weisungsbefugt sowie zur Vertretung nach außen berechtigt sein. Registrierte Einzelpersonen können qualifizierte Personen benennen.</w:t>
      </w:r>
    </w:p>
    <w:p>
      <w:r>
        <w:t xml:space="preserve">(5) Das Bundesministerium der Justiz wird ermächtigt, durch Rechtsverordnung ohne Zustimmung des Bundesrates die Einzelheiten zu den Voraussetzungen der Registrierung nach den §§ 11 und 12 zu regeln, insbesondere die Anforderungen an die Sachkunde und ihren Nachweis einschließlich der Anerkennung und Zertifizierung privater Anbieter von Sachkundelehrgängen, an die Anerkennung ausländischer Berufsqualifikationen und den Anpassungslehrgang sowie, auch abweichend von den Vorschriften des Versicherungsvertragsgesetzes für die Pflichtversicherung, an Inhalt und Ausgestaltung der Berufshaftpflichtversicherung.</w:t>
      </w:r>
    </w:p>
    <w:p>
      <w:r>
        <w:rPr>
          <w:color w:val="555555"/>
          <w:sz w:val="17"/>
        </w:rPr>
        <w:t xml:space="preserve">Zitiervorschlag: § 12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