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RBSFV 2025</w:t>
      </w:r>
    </w:p>
    <w:p>
      <w:r>
        <w:rPr>
          <w:color w:val="555555"/>
          <w:sz w:val="18"/>
        </w:rPr>
        <w:t xml:space="preserve">Regelbedarfsstufen-Fortschreibungsverordnung 2025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RBSFV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https://recht.nulegal.eu/gesetze/RBSFV%202025/schlussformel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