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RBSFV 2025 — Außerkrafttreten der Regelbedarfsstufen-Fortschreibungsverordnung 2025</w:t>
      </w:r>
    </w:p>
    <w:p>
      <w:r>
        <w:rPr>
          <w:color w:val="555555"/>
          <w:sz w:val="18"/>
        </w:rPr>
        <w:t xml:space="preserve">Regelbedarfsstufen-Fortschreibungsverordnung 2025</w:t>
      </w:r>
    </w:p>
    <w:p>
      <w:r>
        <w:rPr>
          <w:color w:val="555555"/>
          <w:sz w:val="18"/>
        </w:rPr>
        <w:t xml:space="preserve">Historische Fassung: Stand 23.10.2025 bis 01.01.2026. Dies ist nicht die aktuelle Fassung.</w:t>
      </w:r>
    </w:p>
    <w:p>
      <w:r>
        <w:t xml:space="preserve">Diese Verordnung tritt mit Ablauf des 31. Dezember 2025 außer Kraft.</w:t>
      </w:r>
    </w:p>
    <w:p>
      <w:r>
        <w:rPr>
          <w:color w:val="555555"/>
          <w:sz w:val="17"/>
        </w:rPr>
        <w:t xml:space="preserve">Zitiervorschlag: § 4 RBSFV 2025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https://recht.nulegal.eu/gesetze/RBSFV%202025/4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