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RBSFV 2024 — Inkrafttreten, Außerkrafttreten</w:t>
      </w:r>
    </w:p>
    <w:p>
      <w:r>
        <w:rPr>
          <w:color w:val="555555"/>
          <w:sz w:val="18"/>
        </w:rPr>
        <w:t xml:space="preserve">Regelbedarfsstufen-Fortschreibungsverordnung 2024</w:t>
      </w:r>
    </w:p>
    <w:p>
      <w:r>
        <w:rPr>
          <w:color w:val="555555"/>
          <w:sz w:val="18"/>
        </w:rPr>
        <w:t xml:space="preserve">Historische Fassung: Stand 01.01.2024 bis 01.01.2025. Dies ist nicht die aktuelle Fassung.</w:t>
      </w:r>
    </w:p>
    <w:p>
      <w:r>
        <w:t xml:space="preserve">Diese Verordnung tritt am 1. Januar 2024 in Kraft. Gleichzeitig tritt die Regelbedarfsstufen-Fortschreibungsverordnung 2022 vom 13. Oktober 2021 (BGBl. I S. 4674) außer Kraft.</w:t>
      </w:r>
    </w:p>
    <w:p>
      <w:r>
        <w:rPr>
          <w:color w:val="555555"/>
          <w:sz w:val="17"/>
        </w:rPr>
        <w:t xml:space="preserve">Zitiervorschlag: § 4 RBSFV 2024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https://recht.nulegal.eu/gesetze/RBSFV%202024/4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