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RBSFV 2024 — Fortschreibung für das Jahr 2024</w:t>
      </w:r>
    </w:p>
    <w:p>
      <w:r>
        <w:rPr>
          <w:color w:val="555555"/>
          <w:sz w:val="18"/>
        </w:rPr>
        <w:t xml:space="preserve">Regelbedarfsstufen-Fortschreibungsverordnung 2024</w:t>
      </w:r>
    </w:p>
    <w:p>
      <w:r>
        <w:rPr>
          <w:color w:val="555555"/>
          <w:sz w:val="18"/>
        </w:rPr>
        <w:t xml:space="preserve">Historische Fassung: Stand 22.10.2024 bis 01.01.2025. Dies ist nicht die aktuelle Fassung.</w:t>
      </w:r>
    </w:p>
    <w:p>
      <w:r>
        <w:t xml:space="preserve">(1) Die Veränderungsrate für die Basisfortschreibung der Regelbedarfsstufen nach § 28a Absatz 3 des Zwölften Buches Sozialgesetzbuch zum 1. Januar 2024 beträgt 9,07 Prozent. Die Veränderungsrate für die ergänzende Fortschreibung der Regelbedarfsstufen nach § 28a Absatz 4 des Zwölften Buches Sozialgesetzbuch zum 1. Januar 2024 beträgt 9,9 Prozent.</w:t>
      </w:r>
    </w:p>
    <w:p>
      <w:r>
        <w:t xml:space="preserve">(2) Die Regelbedarfsstufen nach § 8 Absatz 1 des Regelbedarfsermittlungsgesetzes werden entsprechend der Veränderungsraten nach Absatz 1 zum 1. Januar 2024 erhöht und nach § 28 Absatz 5 des Zwölften Buches Sozialgesetzbuch auf volle Euro gerundet.</w:t>
      </w:r>
    </w:p>
    <w:p>
      <w:r>
        <w:t xml:space="preserve">(3) Die Absätze 1 und 2 gelten entsprechend für die Fortschreibung des Teilbetrags für das erste Schulhalbjahr nach § 34 Absatz 3a Satz 1 des Zwölften Buches Sozialgesetzbuch für das Kalenderjahr 2024.</w:t>
      </w:r>
    </w:p>
    <w:p>
      <w:r>
        <w:rPr>
          <w:color w:val="555555"/>
          <w:sz w:val="17"/>
        </w:rPr>
        <w:t xml:space="preserve">Zitiervorschlag: § 1 RBSFV 2024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https://recht.nulegal.eu/gesetze/RBSFV%202024/1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