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RBSFV 2022 — Inkrafttreten</w:t>
      </w:r>
    </w:p>
    <w:p>
      <w:r>
        <w:rPr>
          <w:color w:val="555555"/>
          <w:sz w:val="18"/>
        </w:rPr>
        <w:t xml:space="preserve">Regelbedarfsstufen-Fortschreibungsverordnung 2022</w:t>
      </w:r>
    </w:p>
    <w:p>
      <w:r>
        <w:rPr>
          <w:color w:val="555555"/>
          <w:sz w:val="18"/>
        </w:rPr>
        <w:t xml:space="preserve">Historische Fassung: Stand 01.01.2022 bis 01.01.2024. Dies ist nicht die aktuelle Fassung.</w:t>
      </w:r>
    </w:p>
    <w:p>
      <w:r>
        <w:t xml:space="preserve">Diese Verordnung tritt am 1. Januar 2022 in Kraft.</w:t>
      </w:r>
    </w:p>
    <w:p>
      <w:r>
        <w:rPr>
          <w:color w:val="555555"/>
          <w:sz w:val="17"/>
        </w:rPr>
        <w:t xml:space="preserve">Zitiervorschlag: § 5 RBSFV 2022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https://recht.nulegal.eu/gesetze/RBSFV%202022/5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