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RBSFV 2022 — Übergangsregelung aus Anlass dieser Verordnung</w:t>
      </w:r>
    </w:p>
    <w:p>
      <w:r>
        <w:rPr>
          <w:color w:val="555555"/>
          <w:sz w:val="18"/>
        </w:rPr>
        <w:t xml:space="preserve">Regelbedarfsstufen-Fortschreibungsverordnung 2022</w:t>
      </w:r>
    </w:p>
    <w:p>
      <w:r>
        <w:rPr>
          <w:color w:val="555555"/>
          <w:sz w:val="18"/>
        </w:rPr>
        <w:t xml:space="preserve">Historische Fassung: Stand 01.01.2022 bis 01.01.2024. Dies ist nicht die aktuelle Fassung.</w:t>
      </w:r>
    </w:p>
    <w:p>
      <w:r>
        <w:t xml:space="preserve">Für noch nicht rechtskräftig abgeschlossene Verfahren, denen Leistungszeiträume zwischen dem 1. Januar 2020 und dem 31. Dezember 2020 zugrunde liegen, ist die Regelbedarfsstufen-Fortschreibungsverordnung 2020 vom 15. Oktober 2019 (BGBl. I S. 1452) in ihrer bis 31. Dezember 2020 geltenden Fassung anzuwenden.</w:t>
      </w:r>
    </w:p>
    <w:p>
      <w:r>
        <w:rPr>
          <w:color w:val="555555"/>
          <w:sz w:val="17"/>
        </w:rPr>
        <w:t xml:space="preserve">Zitiervorschlag: § 4 RBSFV 2022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https://recht.nulegal.eu/gesetze/RBSFV%202022/4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