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RBSFV 2020 — Inkrafttreten, Außerkrafttreten</w:t>
      </w:r>
    </w:p>
    <w:p>
      <w:r>
        <w:rPr>
          <w:color w:val="555555"/>
          <w:sz w:val="18"/>
        </w:rPr>
        <w:t xml:space="preserve">Regelbedarfsstufen-Fortschreibungsverordnung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Diese Verordnung tritt am 1. Januar 2020 in Kraft. Gleichzeitig tritt die Regelbedarfsstufen-Fortschreibungsverordnung 2019 vom 19. Oktober 2018 (BGBl. I S. 1766) außer Kraft.</w:t>
      </w:r>
    </w:p>
    <w:p>
      <w:r>
        <w:rPr>
          <w:color w:val="555555"/>
          <w:sz w:val="17"/>
        </w:rPr>
        <w:t xml:space="preserve">Zitiervorschlag: § 4 RBSFV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