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RBSFV 2019 — Inkrafttreten, Außerkrafttreten</w:t>
      </w:r>
    </w:p>
    <w:p>
      <w:r>
        <w:rPr>
          <w:color w:val="555555"/>
          <w:sz w:val="18"/>
        </w:rPr>
        <w:t xml:space="preserve">Regelbedarfsstufen-Fortschreibungsverordnung 2019</w:t>
      </w:r>
    </w:p>
    <w:p>
      <w:r>
        <w:rPr>
          <w:color w:val="555555"/>
          <w:sz w:val="18"/>
        </w:rPr>
        <w:t xml:space="preserve">Historische Fassung: Stand 10.06.2019 bis 02.01.2020. Dies ist nicht die aktuelle Fassung.</w:t>
      </w:r>
    </w:p>
    <w:p>
      <w:r>
        <w:t xml:space="preserve">Diese Verordnung tritt am 1. Januar 2019 in Kraft. Gleichzeitig tritt die Regelbedarfsstufen-Fortschreibungsverordnung 2018 vom 8. November 2017 (BGBl. I S. 3767) außer Kraft.</w:t>
      </w:r>
    </w:p>
    <w:p>
      <w:r>
        <w:rPr>
          <w:color w:val="555555"/>
          <w:sz w:val="17"/>
        </w:rPr>
        <w:t xml:space="preserve">Zitiervorschlag: § 4 RBSFV 2019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https://recht.nulegal.eu/gesetze/RBSFV%202019/4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