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RBSFV 2019 — Übergangsregelung aus Anlass dieser Verordnung</w:t>
      </w:r>
    </w:p>
    <w:p>
      <w:r>
        <w:rPr>
          <w:color w:val="555555"/>
          <w:sz w:val="18"/>
        </w:rPr>
        <w:t xml:space="preserve">Regelbedarfsstufen-Fortschreibungsverordnung 2019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Für noch nicht rechtskräftig abgeschlossene Verfahren, denen Leistungszeiträume zwischen dem 1. Januar 2018 und dem 31. Dezember 2018 zugrunde liegen, ist die Regelbedarfsstufen-Fortschreibungsverordnung 2018 vom 8. November 2017 (BGBl. I S. 3767) in ihrer bis zum 31. Dezember 2018 geltenden Fassung weiter anzuwenden.</w:t>
      </w:r>
    </w:p>
    <w:p>
      <w:r>
        <w:rPr>
          <w:color w:val="555555"/>
          <w:sz w:val="17"/>
        </w:rPr>
        <w:t xml:space="preserve">Zitiervorschlag: § 3 RBSFV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https://recht.nulegal.eu/gesetze/RBSFV%202019/3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