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RBEG 2021 — Auszuschließende Haushalte</w:t>
      </w:r>
    </w:p>
    <w:p>
      <w:r>
        <w:rPr>
          <w:color w:val="555555"/>
          <w:sz w:val="18"/>
        </w:rPr>
        <w:t xml:space="preserve">Regelbedarfsermittlungsgesetz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Von den Haushalten nach § 2 sind vor der Bestimmung der Referenzhaushalte diejenigen Haushalte auszuschließen, in denen Leistungsberechtigte leben, die im Erhebungszeitraum eine der folgenden Leistungen bezogen haben:</w:t>
      </w:r>
    </w:p>
    <w:p>
      <w:pPr>
        <w:ind w:left="420"/>
      </w:pPr>
      <w:r>
        <w:t xml:space="preserve">1. Hilfe zum Lebensunterhalt nach dem Dritten Kapitel des Zwölften Buches Sozialgesetzbuch,</w:t>
      </w:r>
    </w:p>
    <w:p>
      <w:pPr>
        <w:ind w:left="420"/>
      </w:pPr>
      <w:r>
        <w:t xml:space="preserve">2. Grundsicherung im Alter und bei Erwerbsminderung nach dem Vierten Kapitel des Zwölften Buches Sozialgesetzbuch,</w:t>
      </w:r>
    </w:p>
    <w:p>
      <w:pPr>
        <w:ind w:left="420"/>
      </w:pPr>
      <w:r>
        <w:t xml:space="preserve">3. Grundsicherungsgeld nach dem Zweiten Buch Sozialgesetzbuch,</w:t>
      </w:r>
    </w:p>
    <w:p>
      <w:pPr>
        <w:ind w:left="420"/>
      </w:pPr>
      <w:r>
        <w:t xml:space="preserve">4. Leistungen nach dem Asylbewerberleistungsgesetz.</w:t>
      </w:r>
    </w:p>
    <w:p>
      <w:r>
        <w:t xml:space="preserve">(2) Nicht auszuschließen sind Haushalte, in denen Leistungsberechtigte leben, die im Erhebungszeitraum zusätzlich zu den Leistungen nach Absatz 1 Nummer 1 bis 4 Erwerbseinkommen bezogen haben.</w:t>
      </w:r>
    </w:p>
    <w:p>
      <w:r>
        <w:rPr>
          <w:color w:val="555555"/>
          <w:sz w:val="17"/>
        </w:rPr>
        <w:t xml:space="preserve">Zitiervorschlag: § 3 RBEG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https://recht.nulegal.eu/gesetze/RBEG%202021/3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